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pPr>
    </w:p>
    <w:p>
      <w:pPr>
        <w:jc w:val="center"/>
      </w:pPr>
    </w:p>
    <w:p>
      <w:pPr>
        <w:jc w:val="center"/>
        <w:outlineLvl w:val="0"/>
        <w:rPr>
          <w:sz w:val="44"/>
          <w:szCs w:val="44"/>
        </w:rPr>
      </w:pPr>
    </w:p>
    <w:p>
      <w:pPr>
        <w:jc w:val="center"/>
        <w:outlineLvl w:val="0"/>
        <w:rPr>
          <w:rFonts w:ascii="宋体" w:hAnsi="宋体"/>
          <w:b/>
          <w:sz w:val="52"/>
          <w:szCs w:val="52"/>
        </w:rPr>
      </w:pPr>
      <w:r>
        <w:rPr>
          <w:rFonts w:hint="eastAsia" w:ascii="宋体" w:hAnsi="宋体"/>
          <w:b/>
          <w:sz w:val="52"/>
          <w:szCs w:val="52"/>
        </w:rPr>
        <w:t>重庆市档案馆分散采购代理机构服务项目</w:t>
      </w:r>
    </w:p>
    <w:p>
      <w:pPr>
        <w:jc w:val="center"/>
        <w:outlineLvl w:val="0"/>
        <w:rPr>
          <w:rFonts w:ascii="宋体" w:hAnsi="宋体"/>
          <w:b/>
          <w:sz w:val="52"/>
          <w:szCs w:val="52"/>
        </w:rPr>
      </w:pPr>
    </w:p>
    <w:p>
      <w:pPr>
        <w:jc w:val="center"/>
        <w:outlineLvl w:val="0"/>
        <w:rPr>
          <w:rFonts w:ascii="宋体" w:hAnsi="宋体"/>
          <w:spacing w:val="80"/>
          <w:sz w:val="52"/>
          <w:szCs w:val="52"/>
        </w:rPr>
      </w:pPr>
    </w:p>
    <w:p>
      <w:pPr>
        <w:jc w:val="center"/>
        <w:outlineLvl w:val="0"/>
        <w:rPr>
          <w:rFonts w:ascii="宋体" w:hAnsi="宋体"/>
          <w:spacing w:val="80"/>
          <w:sz w:val="72"/>
          <w:szCs w:val="72"/>
        </w:rPr>
      </w:pPr>
    </w:p>
    <w:p>
      <w:pPr>
        <w:jc w:val="center"/>
        <w:outlineLvl w:val="0"/>
        <w:rPr>
          <w:rFonts w:ascii="宋体" w:hAnsi="宋体"/>
          <w:spacing w:val="80"/>
          <w:sz w:val="72"/>
          <w:szCs w:val="72"/>
        </w:rPr>
      </w:pPr>
    </w:p>
    <w:p>
      <w:pPr>
        <w:jc w:val="center"/>
        <w:outlineLvl w:val="0"/>
        <w:rPr>
          <w:b/>
          <w:spacing w:val="80"/>
          <w:sz w:val="72"/>
          <w:szCs w:val="72"/>
        </w:rPr>
      </w:pPr>
      <w:r>
        <w:rPr>
          <w:b/>
          <w:spacing w:val="80"/>
          <w:sz w:val="72"/>
          <w:szCs w:val="72"/>
        </w:rPr>
        <w:t>竞争性磋商文件</w:t>
      </w:r>
    </w:p>
    <w:p>
      <w:pPr>
        <w:spacing w:line="700" w:lineRule="exact"/>
        <w:jc w:val="center"/>
        <w:rPr>
          <w:sz w:val="36"/>
          <w:szCs w:val="30"/>
        </w:rPr>
      </w:pPr>
    </w:p>
    <w:p>
      <w:pPr>
        <w:spacing w:line="700" w:lineRule="exact"/>
        <w:jc w:val="center"/>
        <w:rPr>
          <w:sz w:val="36"/>
          <w:szCs w:val="30"/>
        </w:rPr>
      </w:pPr>
    </w:p>
    <w:p>
      <w:pPr>
        <w:spacing w:line="700" w:lineRule="exact"/>
        <w:jc w:val="center"/>
        <w:rPr>
          <w:rFonts w:ascii="宋体" w:hAnsi="宋体"/>
          <w:b/>
          <w:sz w:val="30"/>
          <w:szCs w:val="30"/>
        </w:rPr>
      </w:pPr>
    </w:p>
    <w:p>
      <w:pPr>
        <w:spacing w:line="700" w:lineRule="exact"/>
        <w:jc w:val="center"/>
        <w:rPr>
          <w:rFonts w:ascii="宋体" w:hAnsi="宋体"/>
          <w:b/>
          <w:sz w:val="30"/>
          <w:szCs w:val="30"/>
        </w:rPr>
      </w:pPr>
    </w:p>
    <w:p>
      <w:pPr>
        <w:spacing w:line="700" w:lineRule="exact"/>
        <w:jc w:val="center"/>
        <w:rPr>
          <w:rFonts w:ascii="宋体" w:hAnsi="宋体"/>
          <w:b/>
          <w:sz w:val="30"/>
          <w:szCs w:val="30"/>
        </w:rPr>
      </w:pPr>
    </w:p>
    <w:p>
      <w:pPr>
        <w:spacing w:line="700" w:lineRule="exact"/>
        <w:jc w:val="center"/>
        <w:rPr>
          <w:rFonts w:ascii="宋体" w:hAnsi="宋体"/>
          <w:b/>
          <w:sz w:val="30"/>
          <w:szCs w:val="30"/>
        </w:rPr>
      </w:pPr>
    </w:p>
    <w:p>
      <w:pPr>
        <w:spacing w:line="700" w:lineRule="exact"/>
        <w:jc w:val="center"/>
        <w:rPr>
          <w:rFonts w:ascii="宋体" w:hAnsi="宋体"/>
          <w:b/>
          <w:sz w:val="30"/>
          <w:szCs w:val="30"/>
        </w:rPr>
      </w:pPr>
    </w:p>
    <w:p>
      <w:pPr>
        <w:spacing w:line="700" w:lineRule="exact"/>
        <w:jc w:val="center"/>
        <w:rPr>
          <w:rFonts w:ascii="宋体" w:hAnsi="宋体"/>
          <w:b/>
          <w:sz w:val="30"/>
          <w:szCs w:val="30"/>
        </w:rPr>
      </w:pPr>
    </w:p>
    <w:p>
      <w:pPr>
        <w:spacing w:line="700" w:lineRule="exact"/>
        <w:jc w:val="center"/>
        <w:rPr>
          <w:rFonts w:ascii="宋体" w:hAnsi="宋体"/>
          <w:b/>
          <w:sz w:val="30"/>
          <w:szCs w:val="30"/>
        </w:rPr>
      </w:pPr>
    </w:p>
    <w:p>
      <w:pPr>
        <w:spacing w:line="700" w:lineRule="exact"/>
        <w:jc w:val="center"/>
        <w:rPr>
          <w:sz w:val="36"/>
          <w:szCs w:val="30"/>
        </w:rPr>
      </w:pPr>
      <w:r>
        <w:rPr>
          <w:sz w:val="36"/>
          <w:szCs w:val="30"/>
        </w:rPr>
        <w:t>采购人：</w:t>
      </w:r>
      <w:r>
        <w:rPr>
          <w:rFonts w:hint="eastAsia"/>
          <w:sz w:val="36"/>
          <w:szCs w:val="30"/>
        </w:rPr>
        <w:t>重庆市档案馆</w:t>
      </w:r>
    </w:p>
    <w:p>
      <w:pPr>
        <w:spacing w:line="700" w:lineRule="exact"/>
        <w:jc w:val="center"/>
        <w:rPr>
          <w:sz w:val="36"/>
          <w:szCs w:val="30"/>
        </w:rPr>
        <w:sectPr>
          <w:headerReference r:id="rId4" w:type="first"/>
          <w:headerReference r:id="rId3" w:type="default"/>
          <w:footerReference r:id="rId5" w:type="even"/>
          <w:pgSz w:w="11907" w:h="16840"/>
          <w:pgMar w:top="1134" w:right="1191" w:bottom="1134" w:left="1191" w:header="851" w:footer="992" w:gutter="0"/>
          <w:pgNumType w:fmt="numberInDash" w:start="1"/>
          <w:cols w:space="720" w:num="1"/>
          <w:docGrid w:linePitch="380" w:charSpace="-5735"/>
        </w:sectPr>
      </w:pPr>
      <w:r>
        <w:rPr>
          <w:sz w:val="36"/>
          <w:szCs w:val="30"/>
        </w:rPr>
        <w:t>二</w:t>
      </w:r>
      <w:r>
        <w:rPr>
          <w:rFonts w:hint="eastAsia"/>
          <w:sz w:val="36"/>
          <w:szCs w:val="30"/>
        </w:rPr>
        <w:t>〇</w:t>
      </w:r>
      <w:r>
        <w:rPr>
          <w:sz w:val="36"/>
          <w:szCs w:val="30"/>
        </w:rPr>
        <w:t>二</w:t>
      </w:r>
      <w:r>
        <w:rPr>
          <w:rFonts w:hint="eastAsia"/>
          <w:sz w:val="36"/>
          <w:szCs w:val="30"/>
        </w:rPr>
        <w:t>二</w:t>
      </w:r>
      <w:r>
        <w:rPr>
          <w:sz w:val="36"/>
          <w:szCs w:val="30"/>
        </w:rPr>
        <w:t>年</w:t>
      </w:r>
      <w:r>
        <w:rPr>
          <w:rFonts w:hint="eastAsia"/>
          <w:sz w:val="36"/>
          <w:szCs w:val="30"/>
        </w:rPr>
        <w:t>七</w:t>
      </w:r>
      <w:r>
        <w:rPr>
          <w:sz w:val="36"/>
          <w:szCs w:val="30"/>
        </w:rPr>
        <w:t>月</w:t>
      </w:r>
    </w:p>
    <w:p>
      <w:pPr>
        <w:pageBreakBefore/>
        <w:spacing w:line="480" w:lineRule="exact"/>
        <w:jc w:val="center"/>
        <w:outlineLvl w:val="0"/>
        <w:rPr>
          <w:rFonts w:ascii="宋体" w:hAnsi="宋体"/>
          <w:sz w:val="44"/>
          <w:szCs w:val="28"/>
        </w:rPr>
      </w:pPr>
      <w:r>
        <w:rPr>
          <w:rFonts w:hint="eastAsia" w:ascii="宋体" w:hAnsi="宋体"/>
          <w:sz w:val="44"/>
          <w:szCs w:val="28"/>
        </w:rPr>
        <w:t>目   录</w:t>
      </w:r>
    </w:p>
    <w:p>
      <w:pPr>
        <w:pStyle w:val="46"/>
        <w:tabs>
          <w:tab w:val="right" w:leader="dot" w:pos="9515"/>
        </w:tabs>
        <w:ind w:left="560"/>
        <w:rPr>
          <w:rFonts w:asciiTheme="minorHAnsi" w:hAnsiTheme="minorHAnsi" w:eastAsiaTheme="minorEastAsia" w:cstheme="minorBidi"/>
          <w:sz w:val="21"/>
          <w:szCs w:val="22"/>
        </w:rPr>
      </w:pPr>
      <w:r>
        <w:rPr>
          <w:rFonts w:hint="eastAsia" w:ascii="宋体" w:hAnsi="宋体"/>
          <w:sz w:val="24"/>
          <w:szCs w:val="24"/>
        </w:rPr>
        <w:fldChar w:fldCharType="begin"/>
      </w:r>
      <w:r>
        <w:rPr>
          <w:rFonts w:hint="eastAsia" w:ascii="宋体" w:hAnsi="宋体"/>
          <w:sz w:val="24"/>
          <w:szCs w:val="24"/>
        </w:rPr>
        <w:instrText xml:space="preserve"> TOC \o "1-3" \h \z </w:instrText>
      </w:r>
      <w:r>
        <w:rPr>
          <w:rFonts w:hint="eastAsia" w:ascii="宋体" w:hAnsi="宋体"/>
          <w:sz w:val="24"/>
          <w:szCs w:val="24"/>
        </w:rPr>
        <w:fldChar w:fldCharType="separate"/>
      </w:r>
      <w:r>
        <w:fldChar w:fldCharType="begin"/>
      </w:r>
      <w:r>
        <w:instrText xml:space="preserve"> HYPERLINK \l "_Toc101697385" </w:instrText>
      </w:r>
      <w:r>
        <w:fldChar w:fldCharType="separate"/>
      </w:r>
      <w:r>
        <w:rPr>
          <w:rStyle w:val="65"/>
          <w:rFonts w:hint="eastAsia" w:ascii="宋体" w:hAnsi="宋体"/>
        </w:rPr>
        <w:t>第一篇采购邀请书</w:t>
      </w:r>
      <w:r>
        <w:tab/>
      </w:r>
      <w:r>
        <w:fldChar w:fldCharType="begin"/>
      </w:r>
      <w:r>
        <w:instrText xml:space="preserve"> PAGEREF _Toc101697385 \h </w:instrText>
      </w:r>
      <w:r>
        <w:fldChar w:fldCharType="separate"/>
      </w:r>
      <w:r>
        <w:t>- 1 -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"_Toc101697386" </w:instrText>
      </w:r>
      <w:r>
        <w:fldChar w:fldCharType="separate"/>
      </w:r>
      <w:r>
        <w:rPr>
          <w:rStyle w:val="65"/>
          <w:rFonts w:hint="eastAsia" w:ascii="宋体" w:hAnsi="宋体"/>
        </w:rPr>
        <w:t>一、竞争性磋商内容</w:t>
      </w:r>
      <w:r>
        <w:tab/>
      </w:r>
      <w:r>
        <w:fldChar w:fldCharType="begin"/>
      </w:r>
      <w:r>
        <w:instrText xml:space="preserve"> PAGEREF _Toc101697386 \h </w:instrText>
      </w:r>
      <w:r>
        <w:fldChar w:fldCharType="separate"/>
      </w:r>
      <w:r>
        <w:t>- 1 -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"_Toc101697387" </w:instrText>
      </w:r>
      <w:r>
        <w:fldChar w:fldCharType="separate"/>
      </w:r>
      <w:r>
        <w:rPr>
          <w:rStyle w:val="65"/>
          <w:rFonts w:hint="eastAsia" w:ascii="宋体" w:hAnsi="宋体"/>
        </w:rPr>
        <w:t>二、供应商资格条件</w:t>
      </w:r>
      <w:r>
        <w:tab/>
      </w:r>
      <w:r>
        <w:fldChar w:fldCharType="begin"/>
      </w:r>
      <w:r>
        <w:instrText xml:space="preserve"> PAGEREF _Toc101697387 \h </w:instrText>
      </w:r>
      <w:r>
        <w:fldChar w:fldCharType="separate"/>
      </w:r>
      <w:r>
        <w:t>- 1 -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"_Toc101697388" </w:instrText>
      </w:r>
      <w:r>
        <w:fldChar w:fldCharType="separate"/>
      </w:r>
      <w:r>
        <w:rPr>
          <w:rStyle w:val="65"/>
          <w:rFonts w:hint="eastAsia" w:ascii="宋体" w:hAnsi="宋体"/>
        </w:rPr>
        <w:t>三、磋商有关说明</w:t>
      </w:r>
      <w:r>
        <w:tab/>
      </w:r>
      <w:r>
        <w:fldChar w:fldCharType="begin"/>
      </w:r>
      <w:r>
        <w:instrText xml:space="preserve"> PAGEREF _Toc101697388 \h </w:instrText>
      </w:r>
      <w:r>
        <w:fldChar w:fldCharType="separate"/>
      </w:r>
      <w:r>
        <w:t>- 1 -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"_Toc101697389" </w:instrText>
      </w:r>
      <w:r>
        <w:fldChar w:fldCharType="separate"/>
      </w:r>
      <w:r>
        <w:rPr>
          <w:rStyle w:val="65"/>
          <w:rFonts w:hint="eastAsia" w:ascii="宋体" w:hAnsi="宋体"/>
        </w:rPr>
        <w:t>四、联系方式</w:t>
      </w:r>
      <w:r>
        <w:tab/>
      </w:r>
      <w:r>
        <w:fldChar w:fldCharType="begin"/>
      </w:r>
      <w:r>
        <w:instrText xml:space="preserve"> PAGEREF _Toc101697389 \h </w:instrText>
      </w:r>
      <w:r>
        <w:fldChar w:fldCharType="separate"/>
      </w:r>
      <w:r>
        <w:t>- 2 -</w:t>
      </w:r>
      <w:r>
        <w:fldChar w:fldCharType="end"/>
      </w:r>
      <w:r>
        <w:fldChar w:fldCharType="end"/>
      </w:r>
    </w:p>
    <w:p>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"_Toc101697390" </w:instrText>
      </w:r>
      <w:r>
        <w:fldChar w:fldCharType="separate"/>
      </w:r>
      <w:r>
        <w:rPr>
          <w:rStyle w:val="65"/>
          <w:rFonts w:hint="eastAsia" w:ascii="宋体" w:hAnsi="宋体"/>
        </w:rPr>
        <w:t>第二篇项目服务需求</w:t>
      </w:r>
      <w:r>
        <w:tab/>
      </w:r>
      <w:r>
        <w:fldChar w:fldCharType="begin"/>
      </w:r>
      <w:r>
        <w:instrText xml:space="preserve"> PAGEREF _Toc101697390 \h </w:instrText>
      </w:r>
      <w:r>
        <w:fldChar w:fldCharType="separate"/>
      </w:r>
      <w:r>
        <w:t>- 3 -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"_Toc101697391" </w:instrText>
      </w:r>
      <w:r>
        <w:fldChar w:fldCharType="separate"/>
      </w:r>
      <w:r>
        <w:rPr>
          <w:rStyle w:val="65"/>
          <w:rFonts w:hint="eastAsia" w:ascii="宋体" w:hAnsi="宋体"/>
        </w:rPr>
        <w:t>※一、服务内容</w:t>
      </w:r>
      <w:r>
        <w:tab/>
      </w:r>
      <w:r>
        <w:fldChar w:fldCharType="begin"/>
      </w:r>
      <w:r>
        <w:instrText xml:space="preserve"> PAGEREF _Toc101697391 \h </w:instrText>
      </w:r>
      <w:r>
        <w:fldChar w:fldCharType="separate"/>
      </w:r>
      <w:r>
        <w:t>- 3 -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"_Toc101697392" </w:instrText>
      </w:r>
      <w:r>
        <w:fldChar w:fldCharType="separate"/>
      </w:r>
      <w:r>
        <w:rPr>
          <w:rStyle w:val="65"/>
          <w:rFonts w:hint="eastAsia" w:ascii="宋体" w:hAnsi="宋体"/>
        </w:rPr>
        <w:t>※二、服务要求</w:t>
      </w:r>
      <w:r>
        <w:tab/>
      </w:r>
      <w:r>
        <w:fldChar w:fldCharType="begin"/>
      </w:r>
      <w:r>
        <w:instrText xml:space="preserve"> PAGEREF _Toc101697392 \h </w:instrText>
      </w:r>
      <w:r>
        <w:fldChar w:fldCharType="separate"/>
      </w:r>
      <w:r>
        <w:t>- 3 -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"_Toc101697393" </w:instrText>
      </w:r>
      <w:r>
        <w:fldChar w:fldCharType="separate"/>
      </w:r>
      <w:r>
        <w:rPr>
          <w:rStyle w:val="65"/>
          <w:rFonts w:hint="eastAsia" w:ascii="宋体" w:hAnsi="宋体"/>
        </w:rPr>
        <w:t>三、委派方式</w:t>
      </w:r>
      <w:r>
        <w:tab/>
      </w:r>
      <w:r>
        <w:fldChar w:fldCharType="begin"/>
      </w:r>
      <w:r>
        <w:instrText xml:space="preserve"> PAGEREF _Toc101697393 \h </w:instrText>
      </w:r>
      <w:r>
        <w:fldChar w:fldCharType="separate"/>
      </w:r>
      <w:r>
        <w:t>- 4 -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"_Toc101697394" </w:instrText>
      </w:r>
      <w:r>
        <w:fldChar w:fldCharType="separate"/>
      </w:r>
      <w:r>
        <w:rPr>
          <w:rStyle w:val="65"/>
          <w:rFonts w:hint="eastAsia" w:ascii="宋体" w:hAnsi="宋体"/>
        </w:rPr>
        <w:t>四、保密要求</w:t>
      </w:r>
      <w:r>
        <w:tab/>
      </w:r>
      <w:r>
        <w:fldChar w:fldCharType="begin"/>
      </w:r>
      <w:r>
        <w:instrText xml:space="preserve"> PAGEREF _Toc101697394 \h </w:instrText>
      </w:r>
      <w:r>
        <w:fldChar w:fldCharType="separate"/>
      </w:r>
      <w:r>
        <w:t>- 4 -</w:t>
      </w:r>
      <w:r>
        <w:fldChar w:fldCharType="end"/>
      </w:r>
      <w:r>
        <w:fldChar w:fldCharType="end"/>
      </w:r>
    </w:p>
    <w:p>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"_Toc101697395" </w:instrText>
      </w:r>
      <w:r>
        <w:fldChar w:fldCharType="separate"/>
      </w:r>
      <w:r>
        <w:rPr>
          <w:rStyle w:val="65"/>
          <w:rFonts w:hint="eastAsia" w:ascii="宋体" w:hAnsi="宋体"/>
        </w:rPr>
        <w:t>第三篇项目商务需求</w:t>
      </w:r>
      <w:r>
        <w:tab/>
      </w:r>
      <w:r>
        <w:fldChar w:fldCharType="begin"/>
      </w:r>
      <w:r>
        <w:instrText xml:space="preserve"> PAGEREF _Toc101697395 \h </w:instrText>
      </w:r>
      <w:r>
        <w:fldChar w:fldCharType="separate"/>
      </w:r>
      <w:r>
        <w:t>- 5 -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"_Toc101697396" </w:instrText>
      </w:r>
      <w:r>
        <w:fldChar w:fldCharType="separate"/>
      </w:r>
      <w:r>
        <w:rPr>
          <w:rStyle w:val="65"/>
          <w:rFonts w:hint="eastAsia" w:ascii="宋体" w:hAnsi="宋体"/>
        </w:rPr>
        <w:t>※一、服务期限、地点及评价方式</w:t>
      </w:r>
      <w:r>
        <w:tab/>
      </w:r>
      <w:r>
        <w:fldChar w:fldCharType="begin"/>
      </w:r>
      <w:r>
        <w:instrText xml:space="preserve"> PAGEREF _Toc101697396 \h </w:instrText>
      </w:r>
      <w:r>
        <w:fldChar w:fldCharType="separate"/>
      </w:r>
      <w:r>
        <w:t>- 5 -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"_Toc101697397" </w:instrText>
      </w:r>
      <w:r>
        <w:fldChar w:fldCharType="separate"/>
      </w:r>
      <w:r>
        <w:rPr>
          <w:rStyle w:val="65"/>
          <w:rFonts w:hint="eastAsia" w:ascii="宋体" w:hAnsi="宋体"/>
        </w:rPr>
        <w:t>※二、报价要求</w:t>
      </w:r>
      <w:r>
        <w:tab/>
      </w:r>
      <w:r>
        <w:fldChar w:fldCharType="begin"/>
      </w:r>
      <w:r>
        <w:instrText xml:space="preserve"> PAGEREF _Toc101697397 \h </w:instrText>
      </w:r>
      <w:r>
        <w:fldChar w:fldCharType="separate"/>
      </w:r>
      <w:r>
        <w:t>- 5 -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"_Toc101697398" </w:instrText>
      </w:r>
      <w:r>
        <w:fldChar w:fldCharType="separate"/>
      </w:r>
      <w:r>
        <w:rPr>
          <w:rStyle w:val="65"/>
          <w:rFonts w:hint="eastAsia" w:ascii="宋体" w:hAnsi="宋体"/>
        </w:rPr>
        <w:t>※三、付款方式</w:t>
      </w:r>
      <w:r>
        <w:tab/>
      </w:r>
      <w:r>
        <w:fldChar w:fldCharType="begin"/>
      </w:r>
      <w:r>
        <w:instrText xml:space="preserve"> PAGEREF _Toc101697398 \h </w:instrText>
      </w:r>
      <w:r>
        <w:fldChar w:fldCharType="separate"/>
      </w:r>
      <w:r>
        <w:t>- 6 -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"_Toc101697399" </w:instrText>
      </w:r>
      <w:r>
        <w:fldChar w:fldCharType="separate"/>
      </w:r>
      <w:r>
        <w:rPr>
          <w:rStyle w:val="65"/>
          <w:rFonts w:hint="eastAsia" w:ascii="宋体" w:hAnsi="宋体"/>
        </w:rPr>
        <w:t>四、知识产权</w:t>
      </w:r>
      <w:r>
        <w:tab/>
      </w:r>
      <w:r>
        <w:fldChar w:fldCharType="begin"/>
      </w:r>
      <w:r>
        <w:instrText xml:space="preserve"> PAGEREF _Toc101697399 \h </w:instrText>
      </w:r>
      <w:r>
        <w:fldChar w:fldCharType="separate"/>
      </w:r>
      <w:r>
        <w:t>- 6 -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"_Toc101697400" </w:instrText>
      </w:r>
      <w:r>
        <w:fldChar w:fldCharType="separate"/>
      </w:r>
      <w:r>
        <w:rPr>
          <w:rStyle w:val="65"/>
          <w:rFonts w:hint="eastAsia" w:ascii="宋体" w:hAnsi="宋体"/>
        </w:rPr>
        <w:t>五、其他</w:t>
      </w:r>
      <w:r>
        <w:tab/>
      </w:r>
      <w:r>
        <w:fldChar w:fldCharType="begin"/>
      </w:r>
      <w:r>
        <w:instrText xml:space="preserve"> PAGEREF _Toc101697400 \h </w:instrText>
      </w:r>
      <w:r>
        <w:fldChar w:fldCharType="separate"/>
      </w:r>
      <w:r>
        <w:t>- 6 -</w:t>
      </w:r>
      <w:r>
        <w:fldChar w:fldCharType="end"/>
      </w:r>
      <w:r>
        <w:fldChar w:fldCharType="end"/>
      </w:r>
    </w:p>
    <w:p>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"_Toc101697401" </w:instrText>
      </w:r>
      <w:r>
        <w:fldChar w:fldCharType="separate"/>
      </w:r>
      <w:r>
        <w:rPr>
          <w:rStyle w:val="65"/>
          <w:rFonts w:hint="eastAsia" w:ascii="宋体" w:hAnsi="宋体"/>
        </w:rPr>
        <w:t>第四篇磋商程序及方法、评审标准、无效响应和采购终止</w:t>
      </w:r>
      <w:r>
        <w:tab/>
      </w:r>
      <w:r>
        <w:fldChar w:fldCharType="begin"/>
      </w:r>
      <w:r>
        <w:instrText xml:space="preserve"> PAGEREF _Toc101697401 \h </w:instrText>
      </w:r>
      <w:r>
        <w:fldChar w:fldCharType="separate"/>
      </w:r>
      <w:r>
        <w:t>- 7 -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"_Toc101697402" </w:instrText>
      </w:r>
      <w:r>
        <w:fldChar w:fldCharType="separate"/>
      </w:r>
      <w:r>
        <w:rPr>
          <w:rStyle w:val="65"/>
          <w:rFonts w:hint="eastAsia" w:ascii="宋体" w:hAnsi="宋体"/>
        </w:rPr>
        <w:t>一、磋商程序及方法</w:t>
      </w:r>
      <w:r>
        <w:tab/>
      </w:r>
      <w:r>
        <w:fldChar w:fldCharType="begin"/>
      </w:r>
      <w:r>
        <w:instrText xml:space="preserve"> PAGEREF _Toc101697402 \h </w:instrText>
      </w:r>
      <w:r>
        <w:fldChar w:fldCharType="separate"/>
      </w:r>
      <w:r>
        <w:t>- 7 -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"_Toc101697403" </w:instrText>
      </w:r>
      <w:r>
        <w:fldChar w:fldCharType="separate"/>
      </w:r>
      <w:r>
        <w:rPr>
          <w:rStyle w:val="65"/>
          <w:rFonts w:hint="eastAsia" w:ascii="宋体" w:hAnsi="宋体"/>
        </w:rPr>
        <w:t>二、评审标准</w:t>
      </w:r>
      <w:r>
        <w:tab/>
      </w:r>
      <w:r>
        <w:fldChar w:fldCharType="begin"/>
      </w:r>
      <w:r>
        <w:instrText xml:space="preserve"> PAGEREF _Toc101697403 \h </w:instrText>
      </w:r>
      <w:r>
        <w:fldChar w:fldCharType="separate"/>
      </w:r>
      <w:r>
        <w:t>- 9 -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"_Toc101697404" </w:instrText>
      </w:r>
      <w:r>
        <w:fldChar w:fldCharType="separate"/>
      </w:r>
      <w:r>
        <w:rPr>
          <w:rStyle w:val="65"/>
          <w:rFonts w:hint="eastAsia" w:ascii="宋体" w:hAnsi="宋体"/>
        </w:rPr>
        <w:t>三、无效响应</w:t>
      </w:r>
      <w:r>
        <w:tab/>
      </w:r>
      <w:r>
        <w:fldChar w:fldCharType="begin"/>
      </w:r>
      <w:r>
        <w:instrText xml:space="preserve"> PAGEREF _Toc101697404 \h </w:instrText>
      </w:r>
      <w:r>
        <w:fldChar w:fldCharType="separate"/>
      </w:r>
      <w:r>
        <w:t>- 11 -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"_Toc101697405" </w:instrText>
      </w:r>
      <w:r>
        <w:fldChar w:fldCharType="separate"/>
      </w:r>
      <w:r>
        <w:rPr>
          <w:rStyle w:val="65"/>
          <w:rFonts w:hint="eastAsia" w:ascii="宋体" w:hAnsi="宋体"/>
        </w:rPr>
        <w:t>四、采购终止</w:t>
      </w:r>
      <w:r>
        <w:tab/>
      </w:r>
      <w:r>
        <w:fldChar w:fldCharType="begin"/>
      </w:r>
      <w:r>
        <w:instrText xml:space="preserve"> PAGEREF _Toc101697405 \h </w:instrText>
      </w:r>
      <w:r>
        <w:fldChar w:fldCharType="separate"/>
      </w:r>
      <w:r>
        <w:t>- 12 -</w:t>
      </w:r>
      <w:r>
        <w:fldChar w:fldCharType="end"/>
      </w:r>
      <w:r>
        <w:fldChar w:fldCharType="end"/>
      </w:r>
    </w:p>
    <w:p>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"_Toc101697406" </w:instrText>
      </w:r>
      <w:r>
        <w:fldChar w:fldCharType="separate"/>
      </w:r>
      <w:r>
        <w:rPr>
          <w:rStyle w:val="65"/>
          <w:rFonts w:hint="eastAsia" w:ascii="宋体" w:hAnsi="宋体"/>
        </w:rPr>
        <w:t>第五篇供应商须知</w:t>
      </w:r>
      <w:r>
        <w:tab/>
      </w:r>
      <w:r>
        <w:fldChar w:fldCharType="begin"/>
      </w:r>
      <w:r>
        <w:instrText xml:space="preserve"> PAGEREF _Toc101697406 \h </w:instrText>
      </w:r>
      <w:r>
        <w:fldChar w:fldCharType="separate"/>
      </w:r>
      <w:r>
        <w:t>- 13 -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"_Toc101697407" </w:instrText>
      </w:r>
      <w:r>
        <w:fldChar w:fldCharType="separate"/>
      </w:r>
      <w:r>
        <w:rPr>
          <w:rStyle w:val="65"/>
          <w:rFonts w:hint="eastAsia" w:ascii="宋体" w:hAnsi="宋体"/>
        </w:rPr>
        <w:t>一、磋商费用</w:t>
      </w:r>
      <w:r>
        <w:tab/>
      </w:r>
      <w:r>
        <w:fldChar w:fldCharType="begin"/>
      </w:r>
      <w:r>
        <w:instrText xml:space="preserve"> PAGEREF _Toc101697407 \h </w:instrText>
      </w:r>
      <w:r>
        <w:fldChar w:fldCharType="separate"/>
      </w:r>
      <w:r>
        <w:t>- 13 -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"_Toc101697408" </w:instrText>
      </w:r>
      <w:r>
        <w:fldChar w:fldCharType="separate"/>
      </w:r>
      <w:r>
        <w:rPr>
          <w:rStyle w:val="65"/>
          <w:rFonts w:hint="eastAsia" w:ascii="宋体" w:hAnsi="宋体"/>
        </w:rPr>
        <w:t>二、竞争性磋商文件</w:t>
      </w:r>
      <w:r>
        <w:tab/>
      </w:r>
      <w:r>
        <w:fldChar w:fldCharType="begin"/>
      </w:r>
      <w:r>
        <w:instrText xml:space="preserve"> PAGEREF _Toc101697408 \h </w:instrText>
      </w:r>
      <w:r>
        <w:fldChar w:fldCharType="separate"/>
      </w:r>
      <w:r>
        <w:t>- 13 -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"_Toc101697409" </w:instrText>
      </w:r>
      <w:r>
        <w:fldChar w:fldCharType="separate"/>
      </w:r>
      <w:r>
        <w:rPr>
          <w:rStyle w:val="65"/>
          <w:rFonts w:hint="eastAsia" w:ascii="宋体" w:hAnsi="宋体"/>
        </w:rPr>
        <w:t>三、磋商要求</w:t>
      </w:r>
      <w:r>
        <w:tab/>
      </w:r>
      <w:r>
        <w:fldChar w:fldCharType="begin"/>
      </w:r>
      <w:r>
        <w:instrText xml:space="preserve"> PAGEREF _Toc101697409 \h </w:instrText>
      </w:r>
      <w:r>
        <w:fldChar w:fldCharType="separate"/>
      </w:r>
      <w:r>
        <w:t>- 13 -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"_Toc101697410" </w:instrText>
      </w:r>
      <w:r>
        <w:fldChar w:fldCharType="separate"/>
      </w:r>
      <w:r>
        <w:rPr>
          <w:rStyle w:val="65"/>
          <w:rFonts w:hint="eastAsia" w:ascii="宋体" w:hAnsi="宋体"/>
        </w:rPr>
        <w:t>四、成交供应商的确认和变更</w:t>
      </w:r>
      <w:r>
        <w:tab/>
      </w:r>
      <w:r>
        <w:fldChar w:fldCharType="begin"/>
      </w:r>
      <w:r>
        <w:instrText xml:space="preserve"> PAGEREF _Toc101697410 \h </w:instrText>
      </w:r>
      <w:r>
        <w:fldChar w:fldCharType="separate"/>
      </w:r>
      <w:r>
        <w:t>- 14 -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"_Toc101697411" </w:instrText>
      </w:r>
      <w:r>
        <w:fldChar w:fldCharType="separate"/>
      </w:r>
      <w:r>
        <w:rPr>
          <w:rStyle w:val="65"/>
          <w:rFonts w:hint="eastAsia" w:ascii="宋体" w:hAnsi="宋体"/>
        </w:rPr>
        <w:t>五、成交通知</w:t>
      </w:r>
      <w:r>
        <w:tab/>
      </w:r>
      <w:r>
        <w:fldChar w:fldCharType="begin"/>
      </w:r>
      <w:r>
        <w:instrText xml:space="preserve"> PAGEREF _Toc101697411 \h </w:instrText>
      </w:r>
      <w:r>
        <w:fldChar w:fldCharType="separate"/>
      </w:r>
      <w:r>
        <w:t>- 15 -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"_Toc101697412" </w:instrText>
      </w:r>
      <w:r>
        <w:fldChar w:fldCharType="separate"/>
      </w:r>
      <w:r>
        <w:rPr>
          <w:rStyle w:val="65"/>
          <w:rFonts w:hint="eastAsia" w:ascii="宋体" w:hAnsi="宋体"/>
        </w:rPr>
        <w:t>六、签订合同</w:t>
      </w:r>
      <w:r>
        <w:tab/>
      </w:r>
      <w:r>
        <w:fldChar w:fldCharType="begin"/>
      </w:r>
      <w:r>
        <w:instrText xml:space="preserve"> PAGEREF _Toc101697412 \h </w:instrText>
      </w:r>
      <w:r>
        <w:fldChar w:fldCharType="separate"/>
      </w:r>
      <w:r>
        <w:t>- 15 -</w:t>
      </w:r>
      <w:r>
        <w:fldChar w:fldCharType="end"/>
      </w:r>
      <w:r>
        <w:fldChar w:fldCharType="end"/>
      </w:r>
    </w:p>
    <w:p>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"_Toc101697413" </w:instrText>
      </w:r>
      <w:r>
        <w:fldChar w:fldCharType="separate"/>
      </w:r>
      <w:r>
        <w:rPr>
          <w:rStyle w:val="65"/>
          <w:rFonts w:hint="eastAsia" w:ascii="宋体" w:hAnsi="宋体"/>
        </w:rPr>
        <w:t>第六篇合同草案条款</w:t>
      </w:r>
      <w:r>
        <w:tab/>
      </w:r>
      <w:r>
        <w:fldChar w:fldCharType="begin"/>
      </w:r>
      <w:r>
        <w:instrText xml:space="preserve"> PAGEREF _Toc101697413 \h </w:instrText>
      </w:r>
      <w:r>
        <w:fldChar w:fldCharType="separate"/>
      </w:r>
      <w:r>
        <w:t>- 16 -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"_Toc101697414" </w:instrText>
      </w:r>
      <w:r>
        <w:fldChar w:fldCharType="separate"/>
      </w:r>
      <w:r>
        <w:rPr>
          <w:rStyle w:val="65"/>
          <w:rFonts w:hint="eastAsia" w:ascii="宋体" w:hAnsi="宋体"/>
        </w:rPr>
        <w:t>一、合同主要条款</w:t>
      </w:r>
      <w:r>
        <w:tab/>
      </w:r>
      <w:r>
        <w:fldChar w:fldCharType="begin"/>
      </w:r>
      <w:r>
        <w:instrText xml:space="preserve"> PAGEREF _Toc101697414 \h </w:instrText>
      </w:r>
      <w:r>
        <w:fldChar w:fldCharType="separate"/>
      </w:r>
      <w:r>
        <w:t>- 16 -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"_Toc101697415" </w:instrText>
      </w:r>
      <w:r>
        <w:fldChar w:fldCharType="separate"/>
      </w:r>
      <w:r>
        <w:rPr>
          <w:rStyle w:val="65"/>
          <w:rFonts w:hint="eastAsia" w:ascii="宋体" w:hAnsi="宋体"/>
        </w:rPr>
        <w:t>二、政府采购合同（格式）</w:t>
      </w:r>
      <w:r>
        <w:tab/>
      </w:r>
      <w:r>
        <w:fldChar w:fldCharType="begin"/>
      </w:r>
      <w:r>
        <w:instrText xml:space="preserve"> PAGEREF _Toc101697415 \h </w:instrText>
      </w:r>
      <w:r>
        <w:fldChar w:fldCharType="separate"/>
      </w:r>
      <w:r>
        <w:t>- 18 -</w:t>
      </w:r>
      <w:r>
        <w:fldChar w:fldCharType="end"/>
      </w:r>
      <w:r>
        <w:fldChar w:fldCharType="end"/>
      </w:r>
    </w:p>
    <w:p>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"_Toc101697416" </w:instrText>
      </w:r>
      <w:r>
        <w:fldChar w:fldCharType="separate"/>
      </w:r>
      <w:r>
        <w:rPr>
          <w:rStyle w:val="65"/>
          <w:rFonts w:hint="eastAsia" w:ascii="宋体" w:hAnsi="宋体"/>
        </w:rPr>
        <w:t>第七篇响应文件编制要求</w:t>
      </w:r>
      <w:r>
        <w:tab/>
      </w:r>
      <w:r>
        <w:fldChar w:fldCharType="begin"/>
      </w:r>
      <w:r>
        <w:instrText xml:space="preserve"> PAGEREF _Toc101697416 \h </w:instrText>
      </w:r>
      <w:r>
        <w:fldChar w:fldCharType="separate"/>
      </w:r>
      <w:r>
        <w:t>- 20 -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"_Toc101697417" </w:instrText>
      </w:r>
      <w:r>
        <w:fldChar w:fldCharType="separate"/>
      </w:r>
      <w:r>
        <w:rPr>
          <w:rStyle w:val="65"/>
          <w:rFonts w:hint="eastAsia" w:ascii="宋体" w:hAnsi="宋体"/>
        </w:rPr>
        <w:t>一、经济部分</w:t>
      </w:r>
      <w:r>
        <w:tab/>
      </w:r>
      <w:r>
        <w:fldChar w:fldCharType="begin"/>
      </w:r>
      <w:r>
        <w:instrText xml:space="preserve"> PAGEREF _Toc101697417 \h </w:instrText>
      </w:r>
      <w:r>
        <w:fldChar w:fldCharType="separate"/>
      </w:r>
      <w:r>
        <w:t>- 20 -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"_Toc101697418" </w:instrText>
      </w:r>
      <w:r>
        <w:fldChar w:fldCharType="separate"/>
      </w:r>
      <w:r>
        <w:rPr>
          <w:rStyle w:val="65"/>
          <w:rFonts w:hint="eastAsia" w:ascii="宋体" w:hAnsi="宋体"/>
        </w:rPr>
        <w:t>二、服务部分</w:t>
      </w:r>
      <w:r>
        <w:tab/>
      </w:r>
      <w:r>
        <w:fldChar w:fldCharType="begin"/>
      </w:r>
      <w:r>
        <w:instrText xml:space="preserve"> PAGEREF _Toc101697418 \h </w:instrText>
      </w:r>
      <w:r>
        <w:fldChar w:fldCharType="separate"/>
      </w:r>
      <w:r>
        <w:t>- 20 -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"_Toc101697419" </w:instrText>
      </w:r>
      <w:r>
        <w:fldChar w:fldCharType="separate"/>
      </w:r>
      <w:r>
        <w:rPr>
          <w:rStyle w:val="65"/>
          <w:rFonts w:hint="eastAsia" w:ascii="宋体" w:hAnsi="宋体"/>
        </w:rPr>
        <w:t>三、商务部分</w:t>
      </w:r>
      <w:r>
        <w:tab/>
      </w:r>
      <w:r>
        <w:fldChar w:fldCharType="begin"/>
      </w:r>
      <w:r>
        <w:instrText xml:space="preserve"> PAGEREF _Toc101697419 \h </w:instrText>
      </w:r>
      <w:r>
        <w:fldChar w:fldCharType="separate"/>
      </w:r>
      <w:r>
        <w:t>- 20 -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"_Toc101697420" </w:instrText>
      </w:r>
      <w:r>
        <w:fldChar w:fldCharType="separate"/>
      </w:r>
      <w:r>
        <w:rPr>
          <w:rStyle w:val="65"/>
          <w:rFonts w:hint="eastAsia" w:ascii="宋体" w:hAnsi="宋体"/>
        </w:rPr>
        <w:t>四、资格部分</w:t>
      </w:r>
      <w:r>
        <w:tab/>
      </w:r>
      <w:r>
        <w:fldChar w:fldCharType="begin"/>
      </w:r>
      <w:r>
        <w:instrText xml:space="preserve"> PAGEREF _Toc101697420 \h </w:instrText>
      </w:r>
      <w:r>
        <w:fldChar w:fldCharType="separate"/>
      </w:r>
      <w:r>
        <w:t>- 20 -</w:t>
      </w:r>
      <w:r>
        <w:fldChar w:fldCharType="end"/>
      </w:r>
      <w:r>
        <w:fldChar w:fldCharType="end"/>
      </w:r>
    </w:p>
    <w:p>
      <w:pPr>
        <w:pStyle w:val="46"/>
        <w:tabs>
          <w:tab w:val="right" w:leader="dot" w:pos="9402"/>
        </w:tabs>
        <w:spacing w:line="480" w:lineRule="exact"/>
        <w:ind w:left="560"/>
        <w:jc w:val="center"/>
        <w:rPr>
          <w:rFonts w:ascii="宋体" w:hAnsi="宋体"/>
          <w:sz w:val="24"/>
          <w:szCs w:val="24"/>
        </w:rPr>
        <w:sectPr>
          <w:footerReference r:id="rId6" w:type="default"/>
          <w:pgSz w:w="11907" w:h="16840"/>
          <w:pgMar w:top="1134" w:right="1191" w:bottom="1134" w:left="1191" w:header="851" w:footer="992" w:gutter="0"/>
          <w:pgNumType w:fmt="numberInDash" w:start="1"/>
          <w:cols w:space="720" w:num="1"/>
          <w:docGrid w:linePitch="380" w:charSpace="-5735"/>
        </w:sectPr>
      </w:pPr>
      <w:r>
        <w:rPr>
          <w:rFonts w:hint="eastAsia" w:ascii="宋体" w:hAnsi="宋体"/>
          <w:sz w:val="24"/>
          <w:szCs w:val="24"/>
        </w:rPr>
        <w:fldChar w:fldCharType="end"/>
      </w:r>
    </w:p>
    <w:p>
      <w:pPr>
        <w:pStyle w:val="3"/>
        <w:pageBreakBefore/>
        <w:snapToGrid w:val="0"/>
        <w:spacing w:beforeLines="50" w:line="360" w:lineRule="auto"/>
        <w:jc w:val="center"/>
        <w:rPr>
          <w:rFonts w:ascii="宋体" w:hAnsi="宋体" w:eastAsia="宋体"/>
          <w:sz w:val="36"/>
          <w:szCs w:val="30"/>
        </w:rPr>
      </w:pPr>
      <w:bookmarkStart w:id="0" w:name="_Toc101697385"/>
      <w:bookmarkStart w:id="1" w:name="_Toc11641050"/>
      <w:bookmarkStart w:id="2" w:name="_Toc12789052"/>
      <w:r>
        <w:rPr>
          <w:rFonts w:hint="eastAsia" w:ascii="宋体" w:hAnsi="宋体" w:eastAsia="宋体"/>
          <w:sz w:val="36"/>
          <w:szCs w:val="30"/>
        </w:rPr>
        <w:t>第一篇  采购邀请书</w:t>
      </w:r>
      <w:bookmarkEnd w:id="0"/>
      <w:bookmarkEnd w:id="1"/>
      <w:bookmarkEnd w:id="2"/>
    </w:p>
    <w:p>
      <w:pPr>
        <w:spacing w:line="360" w:lineRule="auto"/>
        <w:ind w:firstLine="480" w:firstLineChars="200"/>
        <w:rPr>
          <w:rFonts w:ascii="宋体" w:hAnsi="宋体"/>
          <w:sz w:val="24"/>
          <w:szCs w:val="24"/>
        </w:rPr>
      </w:pPr>
      <w:r>
        <w:rPr>
          <w:rFonts w:hint="eastAsia" w:ascii="宋体" w:hAnsi="宋体"/>
          <w:sz w:val="24"/>
          <w:szCs w:val="24"/>
        </w:rPr>
        <w:t>重庆市档案馆对分散采购代理机构服务项目进行竞争性磋商采购。欢迎有资格的供应商前来参与磋商。</w:t>
      </w:r>
    </w:p>
    <w:p>
      <w:pPr>
        <w:pStyle w:val="4"/>
        <w:spacing w:line="360" w:lineRule="auto"/>
        <w:ind w:firstLine="482" w:firstLineChars="200"/>
        <w:rPr>
          <w:rFonts w:ascii="宋体" w:hAnsi="宋体"/>
          <w:sz w:val="24"/>
          <w:szCs w:val="24"/>
        </w:rPr>
      </w:pPr>
      <w:bookmarkStart w:id="3" w:name="_Toc317775175"/>
      <w:bookmarkStart w:id="4" w:name="_Toc313893526"/>
      <w:bookmarkStart w:id="5" w:name="_Toc101697386"/>
      <w:r>
        <w:rPr>
          <w:rFonts w:hint="eastAsia" w:ascii="宋体" w:hAnsi="宋体"/>
          <w:sz w:val="24"/>
          <w:szCs w:val="24"/>
        </w:rPr>
        <w:t>一、竞争性磋商内容</w:t>
      </w:r>
      <w:bookmarkEnd w:id="3"/>
      <w:bookmarkEnd w:id="4"/>
      <w:bookmarkEnd w:id="5"/>
    </w:p>
    <w:tbl>
      <w:tblPr>
        <w:tblStyle w:val="58"/>
        <w:tblW w:w="935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4592"/>
        <w:gridCol w:w="1984"/>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795" w:type="dxa"/>
            <w:tcBorders>
              <w:top w:val="single" w:color="auto" w:sz="4" w:space="0"/>
              <w:left w:val="single" w:color="auto" w:sz="4" w:space="0"/>
              <w:right w:val="single" w:color="auto" w:sz="4" w:space="0"/>
            </w:tcBorders>
            <w:noWrap/>
            <w:vAlign w:val="center"/>
          </w:tcPr>
          <w:p>
            <w:pPr>
              <w:widowControl/>
              <w:jc w:val="center"/>
              <w:rPr>
                <w:rFonts w:ascii="宋体" w:hAnsi="宋体" w:cs="宋体"/>
                <w:b/>
                <w:bCs/>
                <w:kern w:val="0"/>
                <w:sz w:val="21"/>
                <w:szCs w:val="24"/>
              </w:rPr>
            </w:pPr>
            <w:bookmarkStart w:id="6" w:name="_Toc317775178"/>
            <w:bookmarkStart w:id="7" w:name="_Toc373860293"/>
            <w:r>
              <w:rPr>
                <w:rFonts w:hint="eastAsia" w:ascii="宋体" w:hAnsi="宋体" w:cs="宋体"/>
                <w:b/>
                <w:bCs/>
                <w:kern w:val="0"/>
                <w:sz w:val="21"/>
                <w:szCs w:val="24"/>
              </w:rPr>
              <w:t>序号</w:t>
            </w:r>
          </w:p>
        </w:tc>
        <w:tc>
          <w:tcPr>
            <w:tcW w:w="4592" w:type="dxa"/>
            <w:tcBorders>
              <w:top w:val="single" w:color="auto" w:sz="4" w:space="0"/>
              <w:left w:val="single" w:color="auto" w:sz="4" w:space="0"/>
              <w:right w:val="single" w:color="auto" w:sz="4" w:space="0"/>
            </w:tcBorders>
            <w:vAlign w:val="center"/>
          </w:tcPr>
          <w:p>
            <w:pPr>
              <w:jc w:val="center"/>
              <w:rPr>
                <w:rFonts w:ascii="宋体" w:hAnsi="宋体" w:cs="宋体"/>
                <w:b/>
                <w:bCs/>
                <w:kern w:val="0"/>
                <w:sz w:val="21"/>
                <w:szCs w:val="24"/>
              </w:rPr>
            </w:pPr>
            <w:r>
              <w:rPr>
                <w:rFonts w:hint="eastAsia" w:ascii="宋体" w:hAnsi="宋体" w:cs="宋体"/>
                <w:b/>
                <w:bCs/>
                <w:kern w:val="0"/>
                <w:sz w:val="21"/>
                <w:szCs w:val="24"/>
              </w:rPr>
              <w:t>项目内容</w:t>
            </w:r>
          </w:p>
        </w:tc>
        <w:tc>
          <w:tcPr>
            <w:tcW w:w="1984" w:type="dxa"/>
            <w:tcBorders>
              <w:top w:val="single" w:color="auto" w:sz="4" w:space="0"/>
              <w:left w:val="single" w:color="auto" w:sz="4" w:space="0"/>
              <w:right w:val="single" w:color="auto" w:sz="4" w:space="0"/>
            </w:tcBorders>
            <w:noWrap/>
            <w:vAlign w:val="center"/>
          </w:tcPr>
          <w:p>
            <w:pPr>
              <w:widowControl/>
              <w:jc w:val="center"/>
              <w:rPr>
                <w:rFonts w:ascii="宋体" w:hAnsi="宋体" w:cs="宋体"/>
                <w:b/>
                <w:bCs/>
                <w:kern w:val="0"/>
                <w:sz w:val="21"/>
                <w:szCs w:val="24"/>
              </w:rPr>
            </w:pPr>
            <w:r>
              <w:rPr>
                <w:rFonts w:hint="eastAsia" w:ascii="宋体" w:hAnsi="宋体" w:cs="宋体"/>
                <w:b/>
                <w:bCs/>
                <w:kern w:val="0"/>
                <w:sz w:val="21"/>
                <w:szCs w:val="24"/>
              </w:rPr>
              <w:t>成交供应商数量（名）</w:t>
            </w:r>
          </w:p>
        </w:tc>
        <w:tc>
          <w:tcPr>
            <w:tcW w:w="1984" w:type="dxa"/>
            <w:tcBorders>
              <w:top w:val="single" w:color="auto" w:sz="4" w:space="0"/>
              <w:left w:val="single" w:color="auto" w:sz="4" w:space="0"/>
              <w:right w:val="single" w:color="auto" w:sz="4" w:space="0"/>
            </w:tcBorders>
            <w:vAlign w:val="center"/>
          </w:tcPr>
          <w:p>
            <w:pPr>
              <w:widowControl/>
              <w:jc w:val="center"/>
              <w:rPr>
                <w:rFonts w:ascii="宋体" w:hAnsi="宋体" w:cs="宋体"/>
                <w:b/>
                <w:bCs/>
                <w:kern w:val="0"/>
                <w:sz w:val="21"/>
                <w:szCs w:val="24"/>
              </w:rPr>
            </w:pPr>
            <w:r>
              <w:rPr>
                <w:rFonts w:hint="eastAsia" w:ascii="宋体" w:hAnsi="宋体" w:cs="宋体"/>
                <w:b/>
                <w:bCs/>
                <w:kern w:val="0"/>
                <w:sz w:val="21"/>
                <w:szCs w:val="24"/>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795" w:type="dxa"/>
            <w:tcBorders>
              <w:top w:val="single" w:color="auto" w:sz="4" w:space="0"/>
              <w:left w:val="single" w:color="auto" w:sz="4" w:space="0"/>
              <w:right w:val="single" w:color="auto" w:sz="4" w:space="0"/>
            </w:tcBorders>
            <w:noWrap/>
            <w:vAlign w:val="center"/>
          </w:tcPr>
          <w:p>
            <w:pPr>
              <w:pStyle w:val="24"/>
              <w:spacing w:line="240" w:lineRule="atLeast"/>
              <w:ind w:left="0"/>
              <w:jc w:val="center"/>
              <w:outlineLvl w:val="0"/>
              <w:rPr>
                <w:rFonts w:ascii="宋体" w:hAnsi="宋体"/>
                <w:sz w:val="21"/>
                <w:szCs w:val="21"/>
              </w:rPr>
            </w:pPr>
            <w:bookmarkStart w:id="8" w:name="_Hlk344477914"/>
            <w:r>
              <w:rPr>
                <w:rFonts w:hint="eastAsia" w:ascii="宋体" w:hAnsi="宋体"/>
                <w:sz w:val="21"/>
                <w:szCs w:val="21"/>
              </w:rPr>
              <w:t>1</w:t>
            </w:r>
          </w:p>
        </w:tc>
        <w:tc>
          <w:tcPr>
            <w:tcW w:w="4592" w:type="dxa"/>
            <w:tcBorders>
              <w:top w:val="single" w:color="auto" w:sz="4" w:space="0"/>
              <w:left w:val="single" w:color="auto" w:sz="4" w:space="0"/>
              <w:right w:val="single" w:color="auto" w:sz="4" w:space="0"/>
            </w:tcBorders>
            <w:vAlign w:val="center"/>
          </w:tcPr>
          <w:p>
            <w:pPr>
              <w:pStyle w:val="24"/>
              <w:spacing w:line="240" w:lineRule="atLeast"/>
              <w:ind w:left="0"/>
              <w:jc w:val="center"/>
              <w:outlineLvl w:val="0"/>
              <w:rPr>
                <w:rFonts w:ascii="宋体" w:hAnsi="宋体"/>
                <w:sz w:val="21"/>
                <w:szCs w:val="21"/>
              </w:rPr>
            </w:pPr>
            <w:r>
              <w:rPr>
                <w:rFonts w:hint="eastAsia" w:ascii="宋体" w:hAnsi="宋体"/>
                <w:sz w:val="21"/>
                <w:szCs w:val="21"/>
              </w:rPr>
              <w:t>重庆市档案馆分散采购代理机构服务</w:t>
            </w:r>
          </w:p>
        </w:tc>
        <w:tc>
          <w:tcPr>
            <w:tcW w:w="1984" w:type="dxa"/>
            <w:tcBorders>
              <w:top w:val="single" w:color="auto" w:sz="4" w:space="0"/>
              <w:left w:val="single" w:color="auto" w:sz="4" w:space="0"/>
              <w:right w:val="single" w:color="auto" w:sz="4" w:space="0"/>
            </w:tcBorders>
            <w:noWrap/>
            <w:vAlign w:val="center"/>
          </w:tcPr>
          <w:p>
            <w:pPr>
              <w:pStyle w:val="24"/>
              <w:spacing w:line="240" w:lineRule="atLeast"/>
              <w:ind w:left="0"/>
              <w:jc w:val="center"/>
              <w:outlineLvl w:val="0"/>
              <w:rPr>
                <w:rFonts w:ascii="宋体" w:hAnsi="宋体"/>
                <w:sz w:val="21"/>
                <w:szCs w:val="21"/>
              </w:rPr>
            </w:pPr>
            <w:r>
              <w:rPr>
                <w:rFonts w:ascii="宋体" w:hAnsi="宋体"/>
                <w:sz w:val="21"/>
                <w:szCs w:val="21"/>
              </w:rPr>
              <w:t>1</w:t>
            </w:r>
          </w:p>
        </w:tc>
        <w:tc>
          <w:tcPr>
            <w:tcW w:w="1984" w:type="dxa"/>
            <w:tcBorders>
              <w:top w:val="single" w:color="auto" w:sz="4" w:space="0"/>
              <w:left w:val="single" w:color="auto" w:sz="4" w:space="0"/>
              <w:right w:val="single" w:color="auto" w:sz="4" w:space="0"/>
            </w:tcBorders>
            <w:vAlign w:val="center"/>
          </w:tcPr>
          <w:p>
            <w:pPr>
              <w:pStyle w:val="24"/>
              <w:spacing w:line="240" w:lineRule="atLeast"/>
              <w:ind w:left="0"/>
              <w:jc w:val="center"/>
              <w:outlineLvl w:val="0"/>
              <w:rPr>
                <w:rFonts w:ascii="宋体" w:hAnsi="宋体"/>
                <w:sz w:val="21"/>
                <w:szCs w:val="21"/>
              </w:rPr>
            </w:pPr>
            <w:r>
              <w:rPr>
                <w:rFonts w:hint="eastAsia" w:ascii="宋体" w:hAnsi="宋体"/>
                <w:sz w:val="21"/>
                <w:szCs w:val="21"/>
              </w:rPr>
              <w:t>2年</w:t>
            </w:r>
          </w:p>
        </w:tc>
      </w:tr>
      <w:bookmarkEnd w:id="6"/>
      <w:bookmarkEnd w:id="7"/>
      <w:bookmarkEnd w:id="8"/>
    </w:tbl>
    <w:p>
      <w:pPr>
        <w:pStyle w:val="4"/>
        <w:spacing w:line="360" w:lineRule="auto"/>
        <w:ind w:firstLine="482" w:firstLineChars="200"/>
        <w:rPr>
          <w:rFonts w:ascii="宋体" w:hAnsi="宋体"/>
          <w:sz w:val="24"/>
          <w:szCs w:val="24"/>
        </w:rPr>
      </w:pPr>
      <w:bookmarkStart w:id="9" w:name="_Toc101697387"/>
      <w:bookmarkStart w:id="10" w:name="_Toc75258773"/>
      <w:r>
        <w:rPr>
          <w:rFonts w:hint="eastAsia" w:ascii="宋体" w:hAnsi="宋体"/>
          <w:sz w:val="24"/>
          <w:szCs w:val="24"/>
        </w:rPr>
        <w:t>二、供应商资格条件</w:t>
      </w:r>
      <w:bookmarkEnd w:id="9"/>
      <w:bookmarkEnd w:id="10"/>
    </w:p>
    <w:p>
      <w:pPr>
        <w:spacing w:line="360" w:lineRule="auto"/>
        <w:ind w:firstLine="480" w:firstLineChars="200"/>
        <w:rPr>
          <w:rFonts w:ascii="宋体" w:hAnsi="宋体"/>
          <w:sz w:val="24"/>
          <w:szCs w:val="24"/>
        </w:rPr>
      </w:pPr>
      <w:bookmarkStart w:id="11" w:name="_Toc75258774"/>
      <w:r>
        <w:rPr>
          <w:rFonts w:hint="eastAsia" w:ascii="宋体" w:hAnsi="宋体"/>
          <w:sz w:val="24"/>
          <w:szCs w:val="24"/>
        </w:rPr>
        <w:t>（一）合格供应商应满足《中华人民共和国政府采购法》第二十二条规定；</w:t>
      </w:r>
    </w:p>
    <w:p>
      <w:pPr>
        <w:spacing w:line="360" w:lineRule="auto"/>
        <w:ind w:firstLine="480" w:firstLineChars="200"/>
        <w:rPr>
          <w:rFonts w:ascii="宋体" w:hAnsi="宋体"/>
          <w:sz w:val="24"/>
          <w:szCs w:val="24"/>
        </w:rPr>
      </w:pPr>
      <w:r>
        <w:rPr>
          <w:rFonts w:hint="eastAsia" w:ascii="宋体" w:hAnsi="宋体"/>
          <w:sz w:val="24"/>
          <w:szCs w:val="24"/>
        </w:rPr>
        <w:t>（二）本项目的特定资格条件：</w:t>
      </w:r>
    </w:p>
    <w:p>
      <w:pPr>
        <w:spacing w:line="360" w:lineRule="auto"/>
        <w:ind w:firstLine="480" w:firstLineChars="200"/>
        <w:rPr>
          <w:rFonts w:ascii="宋体" w:hAnsi="宋体"/>
          <w:sz w:val="24"/>
          <w:szCs w:val="24"/>
        </w:rPr>
      </w:pPr>
      <w:r>
        <w:rPr>
          <w:rFonts w:hint="eastAsia" w:ascii="宋体" w:hAnsi="宋体"/>
          <w:sz w:val="24"/>
          <w:szCs w:val="24"/>
        </w:rPr>
        <w:t>根据重庆市政府采购管理规定，代理服务机构应进入重庆市政府采购代理机构库（提供重庆市政府采购网代理机构库截图并加盖代理服务机构公章）。</w:t>
      </w:r>
    </w:p>
    <w:p>
      <w:pPr>
        <w:spacing w:line="360" w:lineRule="auto"/>
        <w:ind w:firstLine="480" w:firstLineChars="200"/>
        <w:rPr>
          <w:rFonts w:ascii="宋体" w:hAnsi="宋体"/>
          <w:sz w:val="24"/>
          <w:szCs w:val="24"/>
        </w:rPr>
      </w:pPr>
      <w:r>
        <w:rPr>
          <w:rFonts w:hint="eastAsia" w:ascii="宋体" w:hAnsi="宋体"/>
          <w:sz w:val="24"/>
          <w:szCs w:val="24"/>
        </w:rPr>
        <w:t>（三）落实政府采购政策需满足的资格要求：无。</w:t>
      </w:r>
    </w:p>
    <w:p>
      <w:pPr>
        <w:pStyle w:val="4"/>
        <w:spacing w:line="360" w:lineRule="auto"/>
        <w:ind w:firstLine="482" w:firstLineChars="200"/>
        <w:rPr>
          <w:rFonts w:ascii="宋体" w:hAnsi="宋体"/>
          <w:sz w:val="24"/>
          <w:szCs w:val="24"/>
        </w:rPr>
      </w:pPr>
      <w:bookmarkStart w:id="12" w:name="_Toc101697388"/>
      <w:r>
        <w:rPr>
          <w:rFonts w:hint="eastAsia" w:ascii="宋体" w:hAnsi="宋体"/>
          <w:sz w:val="24"/>
          <w:szCs w:val="24"/>
        </w:rPr>
        <w:t>三、磋商有关说明</w:t>
      </w:r>
      <w:bookmarkEnd w:id="11"/>
      <w:bookmarkEnd w:id="12"/>
    </w:p>
    <w:p>
      <w:pPr>
        <w:spacing w:line="360" w:lineRule="auto"/>
        <w:ind w:firstLine="480" w:firstLineChars="200"/>
        <w:rPr>
          <w:rFonts w:ascii="宋体" w:hAnsi="宋体"/>
          <w:sz w:val="24"/>
          <w:szCs w:val="24"/>
        </w:rPr>
      </w:pPr>
      <w:r>
        <w:rPr>
          <w:rFonts w:hint="eastAsia" w:ascii="宋体" w:hAnsi="宋体"/>
          <w:sz w:val="24"/>
          <w:szCs w:val="24"/>
        </w:rPr>
        <w:t>（一）凡有意参加磋商的代理服务机构，请到http://jda.cq.gov.cn/下载本项目磋商文件以及补遗文件等开标前公布的所有项目资料，无论代理服务机构领取或下载与否，均视为已知晓所有采购内容。</w:t>
      </w:r>
    </w:p>
    <w:p>
      <w:pPr>
        <w:spacing w:line="360" w:lineRule="auto"/>
        <w:ind w:firstLine="480" w:firstLineChars="200"/>
        <w:rPr>
          <w:rFonts w:ascii="宋体" w:hAnsi="宋体"/>
          <w:sz w:val="24"/>
          <w:szCs w:val="24"/>
        </w:rPr>
      </w:pPr>
      <w:r>
        <w:rPr>
          <w:rFonts w:hint="eastAsia" w:ascii="宋体" w:hAnsi="宋体"/>
          <w:sz w:val="24"/>
          <w:szCs w:val="24"/>
        </w:rPr>
        <w:t>（二）磋商报名</w:t>
      </w:r>
    </w:p>
    <w:p>
      <w:pPr>
        <w:spacing w:line="360" w:lineRule="auto"/>
        <w:ind w:firstLine="480" w:firstLineChars="200"/>
        <w:rPr>
          <w:rFonts w:ascii="宋体" w:hAnsi="宋体"/>
          <w:sz w:val="24"/>
          <w:szCs w:val="24"/>
        </w:rPr>
      </w:pPr>
      <w:r>
        <w:rPr>
          <w:rFonts w:hint="eastAsia" w:ascii="宋体" w:hAnsi="宋体"/>
          <w:sz w:val="24"/>
          <w:szCs w:val="24"/>
        </w:rPr>
        <w:t>1.报名期限：2022年7月21日-2022年7月28日。</w:t>
      </w:r>
    </w:p>
    <w:p>
      <w:pPr>
        <w:spacing w:line="360" w:lineRule="auto"/>
        <w:ind w:firstLine="480" w:firstLineChars="200"/>
        <w:rPr>
          <w:rFonts w:ascii="宋体" w:hAnsi="宋体"/>
          <w:sz w:val="24"/>
          <w:szCs w:val="24"/>
        </w:rPr>
      </w:pPr>
      <w:r>
        <w:rPr>
          <w:rFonts w:hint="eastAsia" w:ascii="宋体" w:hAnsi="宋体"/>
          <w:sz w:val="24"/>
          <w:szCs w:val="24"/>
        </w:rPr>
        <w:t>2.报名方式：在报名期限内，潜在供应商将《报名登记表》（见附件）盖章后的电子版发送至邮箱：765862113@qq.com。</w:t>
      </w:r>
    </w:p>
    <w:p>
      <w:pPr>
        <w:spacing w:line="360" w:lineRule="auto"/>
        <w:ind w:firstLine="480" w:firstLineChars="200"/>
        <w:rPr>
          <w:rFonts w:ascii="宋体" w:hAnsi="宋体"/>
          <w:sz w:val="24"/>
          <w:szCs w:val="24"/>
        </w:rPr>
      </w:pPr>
      <w:r>
        <w:rPr>
          <w:rFonts w:hint="eastAsia" w:ascii="宋体" w:hAnsi="宋体"/>
          <w:sz w:val="24"/>
          <w:szCs w:val="24"/>
        </w:rPr>
        <w:t>3.未进行报名的潜在供应商将不得参与磋商。</w:t>
      </w:r>
    </w:p>
    <w:p>
      <w:pPr>
        <w:spacing w:line="360" w:lineRule="auto"/>
        <w:ind w:firstLine="480" w:firstLineChars="200"/>
        <w:rPr>
          <w:rFonts w:ascii="宋体" w:hAnsi="宋体"/>
          <w:sz w:val="24"/>
          <w:szCs w:val="24"/>
        </w:rPr>
      </w:pPr>
      <w:r>
        <w:rPr>
          <w:rFonts w:hint="eastAsia" w:ascii="宋体" w:hAnsi="宋体"/>
          <w:sz w:val="24"/>
          <w:szCs w:val="24"/>
        </w:rPr>
        <w:t>（三）递交响应文件地点：重庆市档案馆（重庆市渝北区同茂大道420号）B324室</w:t>
      </w:r>
    </w:p>
    <w:p>
      <w:pPr>
        <w:spacing w:line="360" w:lineRule="auto"/>
        <w:ind w:firstLine="480" w:firstLineChars="200"/>
        <w:rPr>
          <w:rFonts w:ascii="宋体" w:hAnsi="宋体"/>
          <w:sz w:val="24"/>
          <w:szCs w:val="24"/>
        </w:rPr>
      </w:pPr>
      <w:r>
        <w:rPr>
          <w:rFonts w:hint="eastAsia" w:ascii="宋体" w:hAnsi="宋体"/>
          <w:sz w:val="24"/>
          <w:szCs w:val="24"/>
        </w:rPr>
        <w:t>（四）响应文件递交开始和截止时间：2022年8月1日北京时间14:00-14:30</w:t>
      </w:r>
    </w:p>
    <w:p>
      <w:pPr>
        <w:spacing w:line="360" w:lineRule="auto"/>
        <w:ind w:firstLine="480" w:firstLineChars="200"/>
        <w:rPr>
          <w:rFonts w:ascii="宋体" w:hAnsi="宋体"/>
          <w:sz w:val="24"/>
          <w:szCs w:val="24"/>
        </w:rPr>
      </w:pPr>
      <w:r>
        <w:rPr>
          <w:rFonts w:hint="eastAsia" w:ascii="宋体" w:hAnsi="宋体"/>
          <w:sz w:val="24"/>
          <w:szCs w:val="24"/>
        </w:rPr>
        <w:t>（五）响应文件开启时间：2022年8月1日北京时间14:30</w:t>
      </w:r>
    </w:p>
    <w:p>
      <w:pPr>
        <w:spacing w:line="360" w:lineRule="auto"/>
        <w:ind w:firstLine="480" w:firstLineChars="200"/>
        <w:rPr>
          <w:rFonts w:ascii="宋体" w:hAnsi="宋体"/>
          <w:sz w:val="24"/>
          <w:szCs w:val="24"/>
        </w:rPr>
      </w:pPr>
      <w:r>
        <w:rPr>
          <w:rFonts w:hint="eastAsia" w:ascii="宋体" w:hAnsi="宋体"/>
          <w:sz w:val="24"/>
          <w:szCs w:val="24"/>
        </w:rPr>
        <w:t>（六）磋商费用：无论磋商结果如何，代理服务机构参与本项目磋商的所有费用均应由代理服务机构自行承担。</w:t>
      </w:r>
    </w:p>
    <w:p>
      <w:pPr>
        <w:spacing w:line="360" w:lineRule="auto"/>
        <w:ind w:firstLine="480" w:firstLineChars="200"/>
        <w:rPr>
          <w:rFonts w:ascii="宋体" w:hAnsi="宋体"/>
          <w:sz w:val="24"/>
          <w:szCs w:val="24"/>
        </w:rPr>
      </w:pPr>
      <w:r>
        <w:rPr>
          <w:rFonts w:hint="eastAsia" w:ascii="宋体" w:hAnsi="宋体"/>
          <w:sz w:val="24"/>
          <w:szCs w:val="24"/>
        </w:rPr>
        <w:t>（七）本项目不接受联合体参与磋商。</w:t>
      </w:r>
    </w:p>
    <w:p>
      <w:pPr>
        <w:spacing w:line="360" w:lineRule="auto"/>
        <w:ind w:firstLine="480" w:firstLineChars="200"/>
        <w:rPr>
          <w:rFonts w:ascii="宋体" w:hAnsi="宋体"/>
          <w:sz w:val="24"/>
          <w:szCs w:val="24"/>
        </w:rPr>
      </w:pPr>
      <w:r>
        <w:rPr>
          <w:rFonts w:hint="eastAsia" w:ascii="宋体" w:hAnsi="宋体"/>
          <w:sz w:val="24"/>
          <w:szCs w:val="24"/>
        </w:rPr>
        <w:t>（八）按照《财政部关于在政府采购活动中查询及使用信用记录有关问题的通知》财库〔2016〕125号，代理服务机构列入失信被执行人、重大税收违法案件当事人名单、政府采购严重违法失信行为记录名单及其他不符合《中华人民共和国政府采购法》第二十二条规定条件的代理服务机构，将拒绝其参与政府采购活动。</w:t>
      </w:r>
    </w:p>
    <w:p>
      <w:pPr>
        <w:pStyle w:val="4"/>
        <w:spacing w:line="360" w:lineRule="auto"/>
        <w:ind w:firstLine="482" w:firstLineChars="200"/>
        <w:rPr>
          <w:rFonts w:ascii="宋体" w:hAnsi="宋体"/>
          <w:sz w:val="24"/>
          <w:szCs w:val="24"/>
        </w:rPr>
      </w:pPr>
      <w:bookmarkStart w:id="13" w:name="_Toc101697389"/>
      <w:r>
        <w:rPr>
          <w:rFonts w:hint="eastAsia" w:ascii="宋体" w:hAnsi="宋体"/>
          <w:sz w:val="24"/>
          <w:szCs w:val="24"/>
        </w:rPr>
        <w:t>四、联系方式</w:t>
      </w:r>
      <w:bookmarkEnd w:id="13"/>
    </w:p>
    <w:p>
      <w:pPr>
        <w:snapToGrid w:val="0"/>
        <w:spacing w:line="360" w:lineRule="auto"/>
        <w:ind w:firstLine="480" w:firstLineChars="200"/>
        <w:rPr>
          <w:rFonts w:ascii="宋体" w:hAnsi="宋体"/>
          <w:sz w:val="24"/>
          <w:szCs w:val="24"/>
        </w:rPr>
      </w:pPr>
      <w:bookmarkStart w:id="14" w:name="_Toc180051219"/>
      <w:bookmarkStart w:id="15" w:name="_Toc216163282"/>
      <w:bookmarkStart w:id="16" w:name="_Toc178828108"/>
      <w:r>
        <w:rPr>
          <w:rFonts w:hint="eastAsia" w:ascii="宋体" w:hAnsi="宋体"/>
          <w:sz w:val="24"/>
          <w:szCs w:val="24"/>
        </w:rPr>
        <w:t>联系人：周老师</w:t>
      </w:r>
    </w:p>
    <w:p>
      <w:pPr>
        <w:snapToGrid w:val="0"/>
        <w:spacing w:line="360" w:lineRule="auto"/>
        <w:ind w:firstLine="480" w:firstLineChars="200"/>
        <w:rPr>
          <w:rFonts w:ascii="宋体" w:hAnsi="宋体"/>
          <w:sz w:val="24"/>
          <w:szCs w:val="24"/>
        </w:rPr>
      </w:pPr>
      <w:r>
        <w:rPr>
          <w:rFonts w:hint="eastAsia" w:ascii="宋体" w:hAnsi="宋体"/>
          <w:sz w:val="24"/>
          <w:szCs w:val="24"/>
        </w:rPr>
        <w:t>电  话：（023）60355719</w:t>
      </w:r>
    </w:p>
    <w:p>
      <w:pPr>
        <w:snapToGrid w:val="0"/>
        <w:spacing w:line="360" w:lineRule="auto"/>
        <w:ind w:firstLine="480" w:firstLineChars="200"/>
        <w:rPr>
          <w:rFonts w:ascii="宋体" w:hAnsi="宋体"/>
          <w:sz w:val="24"/>
          <w:szCs w:val="24"/>
        </w:rPr>
      </w:pPr>
      <w:r>
        <w:rPr>
          <w:rFonts w:hint="eastAsia" w:ascii="宋体" w:hAnsi="宋体"/>
          <w:sz w:val="24"/>
          <w:szCs w:val="24"/>
        </w:rPr>
        <w:t>地  址：重庆市渝北区同茂大道420号</w:t>
      </w:r>
    </w:p>
    <w:bookmarkEnd w:id="14"/>
    <w:bookmarkEnd w:id="15"/>
    <w:bookmarkEnd w:id="16"/>
    <w:p>
      <w:pPr>
        <w:pStyle w:val="3"/>
        <w:pageBreakBefore/>
        <w:snapToGrid w:val="0"/>
        <w:spacing w:beforeLines="50" w:line="360" w:lineRule="auto"/>
        <w:jc w:val="center"/>
        <w:rPr>
          <w:rFonts w:ascii="宋体" w:hAnsi="宋体" w:eastAsia="宋体"/>
          <w:sz w:val="36"/>
          <w:szCs w:val="30"/>
        </w:rPr>
      </w:pPr>
      <w:bookmarkStart w:id="17" w:name="_Toc101697390"/>
      <w:r>
        <w:rPr>
          <w:rFonts w:hint="eastAsia" w:ascii="宋体" w:hAnsi="宋体" w:eastAsia="宋体"/>
          <w:sz w:val="36"/>
          <w:szCs w:val="30"/>
        </w:rPr>
        <w:t>第二篇  项目服务需求</w:t>
      </w:r>
      <w:bookmarkEnd w:id="17"/>
    </w:p>
    <w:p>
      <w:pPr>
        <w:snapToGrid w:val="0"/>
        <w:spacing w:line="360" w:lineRule="auto"/>
        <w:ind w:firstLine="422" w:firstLineChars="200"/>
        <w:rPr>
          <w:rFonts w:ascii="宋体" w:hAnsi="宋体"/>
          <w:b/>
          <w:sz w:val="21"/>
          <w:szCs w:val="21"/>
        </w:rPr>
      </w:pPr>
      <w:bookmarkStart w:id="18" w:name="_Toc51671942"/>
      <w:bookmarkStart w:id="19" w:name="_Toc6232092"/>
      <w:bookmarkStart w:id="20" w:name="_Toc5006885"/>
      <w:bookmarkStart w:id="21" w:name="_Toc24743"/>
      <w:bookmarkStart w:id="22" w:name="_Toc12789058"/>
      <w:r>
        <w:rPr>
          <w:rFonts w:hint="eastAsia" w:ascii="宋体" w:hAnsi="宋体"/>
          <w:b/>
          <w:sz w:val="21"/>
          <w:szCs w:val="21"/>
        </w:rPr>
        <w:t>“※”标注的要求为符合性审查中的实质性要求，响应文件若不满足按无效响应处理。</w:t>
      </w:r>
    </w:p>
    <w:bookmarkEnd w:id="18"/>
    <w:p>
      <w:pPr>
        <w:pStyle w:val="4"/>
        <w:spacing w:line="360" w:lineRule="auto"/>
        <w:ind w:firstLine="482" w:firstLineChars="200"/>
        <w:rPr>
          <w:rFonts w:ascii="宋体" w:hAnsi="宋体"/>
          <w:sz w:val="24"/>
          <w:szCs w:val="24"/>
        </w:rPr>
      </w:pPr>
      <w:bookmarkStart w:id="23" w:name="_Toc49159296"/>
      <w:bookmarkStart w:id="24" w:name="_Toc101697391"/>
      <w:bookmarkStart w:id="25" w:name="_Toc86257283"/>
      <w:r>
        <w:rPr>
          <w:rFonts w:hint="eastAsia" w:ascii="宋体" w:hAnsi="宋体"/>
          <w:sz w:val="24"/>
          <w:szCs w:val="24"/>
        </w:rPr>
        <w:t>※一、服务内容</w:t>
      </w:r>
      <w:bookmarkEnd w:id="23"/>
      <w:bookmarkEnd w:id="24"/>
      <w:bookmarkEnd w:id="25"/>
    </w:p>
    <w:p>
      <w:pPr>
        <w:snapToGrid w:val="0"/>
        <w:spacing w:line="360" w:lineRule="auto"/>
        <w:ind w:firstLine="480" w:firstLineChars="200"/>
        <w:rPr>
          <w:rFonts w:ascii="宋体" w:hAnsi="宋体"/>
          <w:sz w:val="24"/>
          <w:szCs w:val="24"/>
        </w:rPr>
      </w:pPr>
      <w:r>
        <w:rPr>
          <w:rFonts w:hint="eastAsia" w:ascii="宋体" w:hAnsi="宋体"/>
          <w:sz w:val="24"/>
          <w:szCs w:val="24"/>
        </w:rPr>
        <w:t>（一）负责采购人委托的政府集中采购目录外的工程、货物、服务等采购项目的采购代理工作，不限金额、不限数量（根据采购人实施情况确定）；</w:t>
      </w:r>
    </w:p>
    <w:p>
      <w:pPr>
        <w:snapToGrid w:val="0"/>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二）</w:t>
      </w:r>
      <w:r>
        <w:rPr>
          <w:rFonts w:hint="eastAsia" w:ascii="宋体" w:hAnsi="宋体"/>
          <w:sz w:val="24"/>
          <w:szCs w:val="24"/>
        </w:rPr>
        <w:t>负责编制采购文件，包括该类文件的澄清或补遗文件；</w:t>
      </w:r>
    </w:p>
    <w:p>
      <w:pPr>
        <w:snapToGrid w:val="0"/>
        <w:spacing w:line="360" w:lineRule="auto"/>
        <w:ind w:firstLine="480" w:firstLineChars="200"/>
        <w:rPr>
          <w:rFonts w:ascii="宋体" w:hAnsi="宋体"/>
          <w:sz w:val="24"/>
          <w:szCs w:val="24"/>
        </w:rPr>
      </w:pPr>
      <w:r>
        <w:rPr>
          <w:rFonts w:hint="eastAsia" w:ascii="宋体" w:hAnsi="宋体"/>
          <w:sz w:val="24"/>
          <w:szCs w:val="24"/>
        </w:rPr>
        <w:t>（三）按照审定的采购文件要求，编写采购公告并负责发布采购信息（采购人自主办理挂网的项目除外）；</w:t>
      </w:r>
    </w:p>
    <w:p>
      <w:pPr>
        <w:snapToGrid w:val="0"/>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sz w:val="24"/>
          <w:szCs w:val="24"/>
        </w:rPr>
        <w:t>（四）负责采购文件的发售、开标、评标、编写评标报告、评标结果的公示，负责发出中标通</w:t>
      </w:r>
      <w:r>
        <w:rPr>
          <w:rFonts w:hint="eastAsia" w:ascii="宋体" w:hAnsi="宋体"/>
          <w:color w:val="000000" w:themeColor="text1"/>
          <w:sz w:val="24"/>
          <w:szCs w:val="24"/>
          <w14:textFill>
            <w14:solidFill>
              <w14:schemeClr w14:val="tx1"/>
            </w14:solidFill>
          </w14:textFill>
        </w:rPr>
        <w:t>知书；</w:t>
      </w:r>
    </w:p>
    <w:p>
      <w:pPr>
        <w:snapToGrid w:val="0"/>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（五）负责采购项目的询问质疑答复，并负责整理相关答疑资料，形成澄清或者补遗通知作为采购文件的一部分通知所有潜在供应商；</w:t>
      </w:r>
    </w:p>
    <w:p>
      <w:pPr>
        <w:snapToGrid w:val="0"/>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（六）根据采购项目需求，负责组织或协</w:t>
      </w:r>
      <w:r>
        <w:rPr>
          <w:rFonts w:ascii="宋体" w:hAnsi="宋体"/>
          <w:color w:val="000000" w:themeColor="text1"/>
          <w:sz w:val="24"/>
          <w:szCs w:val="24"/>
          <w14:textFill>
            <w14:solidFill>
              <w14:schemeClr w14:val="tx1"/>
            </w14:solidFill>
          </w14:textFill>
        </w:rPr>
        <w:t>助采购人</w:t>
      </w:r>
      <w:r>
        <w:rPr>
          <w:rFonts w:hint="eastAsia" w:ascii="宋体" w:hAnsi="宋体"/>
          <w:color w:val="000000" w:themeColor="text1"/>
          <w:sz w:val="24"/>
          <w:szCs w:val="24"/>
          <w14:textFill>
            <w14:solidFill>
              <w14:schemeClr w14:val="tx1"/>
            </w14:solidFill>
          </w14:textFill>
        </w:rPr>
        <w:t>组织专家参与评标，并支付评标专家劳</w:t>
      </w:r>
      <w:r>
        <w:rPr>
          <w:rFonts w:ascii="宋体" w:hAnsi="宋体"/>
          <w:color w:val="000000" w:themeColor="text1"/>
          <w:sz w:val="24"/>
          <w:szCs w:val="24"/>
          <w14:textFill>
            <w14:solidFill>
              <w14:schemeClr w14:val="tx1"/>
            </w14:solidFill>
          </w14:textFill>
        </w:rPr>
        <w:t>务</w:t>
      </w:r>
      <w:r>
        <w:rPr>
          <w:rFonts w:hint="eastAsia" w:ascii="宋体" w:hAnsi="宋体"/>
          <w:color w:val="000000" w:themeColor="text1"/>
          <w:sz w:val="24"/>
          <w:szCs w:val="24"/>
          <w14:textFill>
            <w14:solidFill>
              <w14:schemeClr w14:val="tx1"/>
            </w14:solidFill>
          </w14:textFill>
        </w:rPr>
        <w:t>费；</w:t>
      </w:r>
    </w:p>
    <w:p>
      <w:pPr>
        <w:snapToGrid w:val="0"/>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七）负责办理投标保证金收取</w:t>
      </w:r>
      <w:r>
        <w:rPr>
          <w:rFonts w:hint="eastAsia" w:ascii="宋体" w:hAnsi="宋体"/>
          <w:color w:val="000000" w:themeColor="text1"/>
          <w:sz w:val="24"/>
          <w:szCs w:val="24"/>
          <w14:textFill>
            <w14:solidFill>
              <w14:schemeClr w14:val="tx1"/>
            </w14:solidFill>
          </w14:textFill>
        </w:rPr>
        <w:t>和</w:t>
      </w:r>
      <w:r>
        <w:rPr>
          <w:rFonts w:ascii="宋体" w:hAnsi="宋体"/>
          <w:color w:val="000000" w:themeColor="text1"/>
          <w:sz w:val="24"/>
          <w:szCs w:val="24"/>
          <w14:textFill>
            <w14:solidFill>
              <w14:schemeClr w14:val="tx1"/>
            </w14:solidFill>
          </w14:textFill>
        </w:rPr>
        <w:t>退还</w:t>
      </w:r>
      <w:r>
        <w:rPr>
          <w:rFonts w:hint="eastAsia" w:ascii="宋体" w:hAnsi="宋体"/>
          <w:color w:val="000000" w:themeColor="text1"/>
          <w:sz w:val="24"/>
          <w:szCs w:val="24"/>
          <w14:textFill>
            <w14:solidFill>
              <w14:schemeClr w14:val="tx1"/>
            </w14:solidFill>
          </w14:textFill>
        </w:rPr>
        <w:t>事</w:t>
      </w:r>
      <w:r>
        <w:rPr>
          <w:rFonts w:ascii="宋体" w:hAnsi="宋体"/>
          <w:color w:val="000000" w:themeColor="text1"/>
          <w:sz w:val="24"/>
          <w:szCs w:val="24"/>
          <w14:textFill>
            <w14:solidFill>
              <w14:schemeClr w14:val="tx1"/>
            </w14:solidFill>
          </w14:textFill>
        </w:rPr>
        <w:t>宜</w:t>
      </w:r>
      <w:r>
        <w:rPr>
          <w:rFonts w:hint="eastAsia" w:ascii="宋体" w:hAnsi="宋体"/>
          <w:color w:val="000000" w:themeColor="text1"/>
          <w:sz w:val="24"/>
          <w:szCs w:val="24"/>
          <w14:textFill>
            <w14:solidFill>
              <w14:schemeClr w14:val="tx1"/>
            </w14:solidFill>
          </w14:textFill>
        </w:rPr>
        <w:t>；</w:t>
      </w:r>
    </w:p>
    <w:p>
      <w:pPr>
        <w:snapToGrid w:val="0"/>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（八）负责整理归集采购活动的全套文件材料，并在采购活动结束后向采购人移交采购全过程档案资料；</w:t>
      </w:r>
    </w:p>
    <w:p>
      <w:pPr>
        <w:snapToGrid w:val="0"/>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（九）完成采购人交办的涉及采购的其他工作（包括但不限于</w:t>
      </w:r>
      <w:r>
        <w:rPr>
          <w:rFonts w:ascii="宋体" w:hAnsi="宋体"/>
          <w:color w:val="000000" w:themeColor="text1"/>
          <w:sz w:val="24"/>
          <w:szCs w:val="24"/>
          <w14:textFill>
            <w14:solidFill>
              <w14:schemeClr w14:val="tx1"/>
            </w14:solidFill>
          </w14:textFill>
        </w:rPr>
        <w:t>协助</w:t>
      </w:r>
      <w:r>
        <w:rPr>
          <w:rFonts w:hint="eastAsia" w:ascii="宋体" w:hAnsi="宋体"/>
          <w:color w:val="000000" w:themeColor="text1"/>
          <w:sz w:val="24"/>
          <w:szCs w:val="24"/>
          <w14:textFill>
            <w14:solidFill>
              <w14:schemeClr w14:val="tx1"/>
            </w14:solidFill>
          </w14:textFill>
        </w:rPr>
        <w:t>采购方</w:t>
      </w:r>
      <w:r>
        <w:rPr>
          <w:rFonts w:ascii="宋体" w:hAnsi="宋体"/>
          <w:color w:val="000000" w:themeColor="text1"/>
          <w:sz w:val="24"/>
          <w:szCs w:val="24"/>
          <w14:textFill>
            <w14:solidFill>
              <w14:schemeClr w14:val="tx1"/>
            </w14:solidFill>
          </w14:textFill>
        </w:rPr>
        <w:t>建立采购相关制度，对政府采购相关政策提供专业解读，提供采购咨询服务，指导起草购买服务计划、开展</w:t>
      </w:r>
      <w:r>
        <w:rPr>
          <w:rFonts w:hint="eastAsia" w:ascii="宋体" w:hAnsi="宋体"/>
          <w:color w:val="000000" w:themeColor="text1"/>
          <w:sz w:val="24"/>
          <w:szCs w:val="24"/>
          <w14:textFill>
            <w14:solidFill>
              <w14:schemeClr w14:val="tx1"/>
            </w14:solidFill>
          </w14:textFill>
        </w:rPr>
        <w:t>需求调查</w:t>
      </w:r>
      <w:r>
        <w:rPr>
          <w:rFonts w:ascii="宋体" w:hAnsi="宋体"/>
          <w:color w:val="000000" w:themeColor="text1"/>
          <w:sz w:val="24"/>
          <w:szCs w:val="24"/>
          <w14:textFill>
            <w14:solidFill>
              <w14:schemeClr w14:val="tx1"/>
            </w14:solidFill>
          </w14:textFill>
        </w:rPr>
        <w:t>审查</w:t>
      </w:r>
      <w:r>
        <w:rPr>
          <w:rFonts w:hint="eastAsia" w:ascii="宋体" w:hAnsi="宋体"/>
          <w:color w:val="000000" w:themeColor="text1"/>
          <w:sz w:val="24"/>
          <w:szCs w:val="24"/>
          <w14:textFill>
            <w14:solidFill>
              <w14:schemeClr w14:val="tx1"/>
            </w14:solidFill>
          </w14:textFill>
        </w:rPr>
        <w:t>等）。</w:t>
      </w:r>
    </w:p>
    <w:p>
      <w:pPr>
        <w:pStyle w:val="4"/>
        <w:spacing w:line="360" w:lineRule="auto"/>
        <w:ind w:firstLine="482" w:firstLineChars="200"/>
        <w:rPr>
          <w:rFonts w:ascii="宋体" w:hAnsi="宋体"/>
          <w:color w:val="000000" w:themeColor="text1"/>
          <w:sz w:val="24"/>
          <w:szCs w:val="24"/>
          <w14:textFill>
            <w14:solidFill>
              <w14:schemeClr w14:val="tx1"/>
            </w14:solidFill>
          </w14:textFill>
        </w:rPr>
      </w:pPr>
      <w:bookmarkStart w:id="26" w:name="_Toc86257284"/>
      <w:bookmarkStart w:id="27" w:name="_Toc49159297"/>
      <w:bookmarkStart w:id="28" w:name="_Toc101697392"/>
      <w:r>
        <w:rPr>
          <w:rFonts w:hint="eastAsia" w:ascii="宋体" w:hAnsi="宋体"/>
          <w:color w:val="000000" w:themeColor="text1"/>
          <w:sz w:val="24"/>
          <w:szCs w:val="24"/>
          <w14:textFill>
            <w14:solidFill>
              <w14:schemeClr w14:val="tx1"/>
            </w14:solidFill>
          </w14:textFill>
        </w:rPr>
        <w:t>※二、服务要求</w:t>
      </w:r>
      <w:bookmarkEnd w:id="26"/>
      <w:bookmarkEnd w:id="27"/>
      <w:bookmarkEnd w:id="28"/>
    </w:p>
    <w:p>
      <w:pPr>
        <w:snapToGrid w:val="0"/>
        <w:spacing w:line="360" w:lineRule="auto"/>
        <w:ind w:firstLine="480" w:firstLineChars="200"/>
        <w:rPr>
          <w:rFonts w:ascii="宋体" w:hAnsi="宋体"/>
          <w:sz w:val="24"/>
          <w:szCs w:val="24"/>
        </w:rPr>
      </w:pPr>
      <w:r>
        <w:rPr>
          <w:rFonts w:hint="eastAsia" w:ascii="宋体" w:hAnsi="宋体"/>
          <w:sz w:val="24"/>
          <w:szCs w:val="24"/>
        </w:rPr>
        <w:t>（一）采购代理机构必须严格执行国家采购法律法规，自觉接受采购</w:t>
      </w:r>
      <w:r>
        <w:rPr>
          <w:rFonts w:ascii="宋体" w:hAnsi="宋体"/>
          <w:sz w:val="24"/>
          <w:szCs w:val="24"/>
        </w:rPr>
        <w:t>人</w:t>
      </w:r>
      <w:r>
        <w:rPr>
          <w:rFonts w:hint="eastAsia" w:ascii="宋体" w:hAnsi="宋体"/>
          <w:sz w:val="24"/>
          <w:szCs w:val="24"/>
        </w:rPr>
        <w:t>的业务指导和监督管理，全力维护采购</w:t>
      </w:r>
      <w:r>
        <w:rPr>
          <w:rFonts w:ascii="宋体" w:hAnsi="宋体"/>
          <w:sz w:val="24"/>
          <w:szCs w:val="24"/>
        </w:rPr>
        <w:t>人</w:t>
      </w:r>
      <w:r>
        <w:rPr>
          <w:rFonts w:hint="eastAsia" w:ascii="宋体" w:hAnsi="宋体"/>
          <w:sz w:val="24"/>
          <w:szCs w:val="24"/>
        </w:rPr>
        <w:t>的合法权益；运用自身的专业技能为采购</w:t>
      </w:r>
      <w:r>
        <w:rPr>
          <w:rFonts w:ascii="宋体" w:hAnsi="宋体"/>
          <w:sz w:val="24"/>
          <w:szCs w:val="24"/>
        </w:rPr>
        <w:t>人</w:t>
      </w:r>
      <w:r>
        <w:rPr>
          <w:rFonts w:hint="eastAsia" w:ascii="宋体" w:hAnsi="宋体"/>
          <w:sz w:val="24"/>
          <w:szCs w:val="24"/>
        </w:rPr>
        <w:t>做好采购代理工作，并提供与采购项目有关的其它服务。代理服务中的整个招标采购过程须符合国家政府采购相关法律法规的要求，符合代理项目的招标采购流程，不得有营私舞弊的行为。</w:t>
      </w:r>
    </w:p>
    <w:p>
      <w:pPr>
        <w:snapToGrid w:val="0"/>
        <w:spacing w:line="360" w:lineRule="auto"/>
        <w:ind w:firstLine="480" w:firstLineChars="200"/>
        <w:rPr>
          <w:rFonts w:ascii="宋体" w:hAnsi="宋体"/>
          <w:sz w:val="24"/>
          <w:szCs w:val="24"/>
        </w:rPr>
      </w:pPr>
      <w:r>
        <w:rPr>
          <w:rFonts w:hint="eastAsia" w:ascii="宋体" w:hAnsi="宋体"/>
          <w:sz w:val="24"/>
          <w:szCs w:val="24"/>
        </w:rPr>
        <w:t>（二）服务期限内若确实需要更换拟派负责人的，须征得采购人的同意，且更换人员的技术职称和</w:t>
      </w:r>
      <w:r>
        <w:rPr>
          <w:rFonts w:ascii="宋体" w:hAnsi="宋体"/>
          <w:sz w:val="24"/>
          <w:szCs w:val="24"/>
        </w:rPr>
        <w:t>工作经验</w:t>
      </w:r>
      <w:r>
        <w:rPr>
          <w:rFonts w:hint="eastAsia" w:ascii="宋体" w:hAnsi="宋体"/>
          <w:sz w:val="24"/>
          <w:szCs w:val="24"/>
        </w:rPr>
        <w:t>必须高于或等于拟派人员；</w:t>
      </w:r>
    </w:p>
    <w:p>
      <w:pPr>
        <w:snapToGrid w:val="0"/>
        <w:spacing w:line="360" w:lineRule="auto"/>
        <w:ind w:firstLine="480" w:firstLineChars="200"/>
        <w:rPr>
          <w:rFonts w:ascii="宋体" w:hAnsi="宋体"/>
          <w:sz w:val="24"/>
          <w:szCs w:val="24"/>
        </w:rPr>
      </w:pPr>
      <w:r>
        <w:rPr>
          <w:rFonts w:hint="eastAsia" w:ascii="宋体" w:hAnsi="宋体"/>
          <w:sz w:val="24"/>
          <w:szCs w:val="24"/>
        </w:rPr>
        <w:t>（三）采购代理机构向采购</w:t>
      </w:r>
      <w:r>
        <w:rPr>
          <w:rFonts w:ascii="宋体" w:hAnsi="宋体"/>
          <w:sz w:val="24"/>
          <w:szCs w:val="24"/>
        </w:rPr>
        <w:t>人</w:t>
      </w:r>
      <w:r>
        <w:rPr>
          <w:rFonts w:hint="eastAsia" w:ascii="宋体" w:hAnsi="宋体"/>
          <w:sz w:val="24"/>
          <w:szCs w:val="24"/>
        </w:rPr>
        <w:t>移交的所有采购过程的资料，均须通过书面形式移交；采购人提出的意见建议，采购代理机构应予以审核，如与采购法规不符，采购代理机构应当提出相应意见，确保代理项目合法、合规。</w:t>
      </w:r>
    </w:p>
    <w:p>
      <w:pPr>
        <w:snapToGrid w:val="0"/>
        <w:spacing w:line="360" w:lineRule="auto"/>
        <w:ind w:firstLine="480" w:firstLineChars="200"/>
        <w:rPr>
          <w:rFonts w:ascii="宋体" w:hAnsi="宋体"/>
          <w:sz w:val="24"/>
          <w:szCs w:val="24"/>
        </w:rPr>
      </w:pPr>
      <w:r>
        <w:rPr>
          <w:rFonts w:hint="eastAsia" w:ascii="宋体" w:hAnsi="宋体"/>
          <w:sz w:val="24"/>
          <w:szCs w:val="24"/>
        </w:rPr>
        <w:t>（四）采</w:t>
      </w:r>
      <w:r>
        <w:rPr>
          <w:rFonts w:ascii="宋体" w:hAnsi="宋体"/>
          <w:sz w:val="24"/>
          <w:szCs w:val="24"/>
        </w:rPr>
        <w:t>购</w:t>
      </w:r>
      <w:r>
        <w:rPr>
          <w:rFonts w:hint="eastAsia" w:ascii="宋体" w:hAnsi="宋体"/>
          <w:sz w:val="24"/>
          <w:szCs w:val="24"/>
        </w:rPr>
        <w:t>代理过程中，如遇有供应商提出质疑、投诉等情况，采购代理机构应分析原因并向采购人提出合法、合规的处理意见，</w:t>
      </w:r>
      <w:r>
        <w:rPr>
          <w:rFonts w:ascii="宋体" w:hAnsi="宋体"/>
          <w:sz w:val="24"/>
          <w:szCs w:val="24"/>
        </w:rPr>
        <w:t>并</w:t>
      </w:r>
      <w:r>
        <w:rPr>
          <w:rFonts w:hint="eastAsia" w:ascii="宋体" w:hAnsi="宋体"/>
          <w:sz w:val="24"/>
          <w:szCs w:val="24"/>
        </w:rPr>
        <w:t>负责</w:t>
      </w:r>
      <w:r>
        <w:rPr>
          <w:rFonts w:ascii="宋体" w:hAnsi="宋体"/>
          <w:sz w:val="24"/>
          <w:szCs w:val="24"/>
        </w:rPr>
        <w:t>对</w:t>
      </w:r>
      <w:r>
        <w:rPr>
          <w:rFonts w:hint="eastAsia" w:ascii="宋体" w:hAnsi="宋体"/>
          <w:sz w:val="24"/>
          <w:szCs w:val="24"/>
        </w:rPr>
        <w:t>相</w:t>
      </w:r>
      <w:r>
        <w:rPr>
          <w:rFonts w:ascii="宋体" w:hAnsi="宋体"/>
          <w:sz w:val="24"/>
          <w:szCs w:val="24"/>
        </w:rPr>
        <w:t>关</w:t>
      </w:r>
      <w:r>
        <w:rPr>
          <w:rFonts w:hint="eastAsia" w:ascii="宋体" w:hAnsi="宋体"/>
          <w:sz w:val="24"/>
          <w:szCs w:val="24"/>
        </w:rPr>
        <w:t>问</w:t>
      </w:r>
      <w:r>
        <w:rPr>
          <w:rFonts w:ascii="宋体" w:hAnsi="宋体"/>
          <w:sz w:val="24"/>
          <w:szCs w:val="24"/>
        </w:rPr>
        <w:t>题进行回复</w:t>
      </w:r>
      <w:r>
        <w:rPr>
          <w:rFonts w:hint="eastAsia" w:ascii="宋体" w:hAnsi="宋体"/>
          <w:sz w:val="24"/>
          <w:szCs w:val="24"/>
        </w:rPr>
        <w:t xml:space="preserve">，确保代理项目合法、合规。 </w:t>
      </w:r>
    </w:p>
    <w:p>
      <w:pPr>
        <w:snapToGrid w:val="0"/>
        <w:spacing w:line="360" w:lineRule="auto"/>
        <w:ind w:firstLine="480" w:firstLineChars="200"/>
        <w:rPr>
          <w:rFonts w:ascii="宋体" w:hAnsi="宋体"/>
          <w:sz w:val="24"/>
          <w:szCs w:val="24"/>
        </w:rPr>
      </w:pPr>
      <w:r>
        <w:rPr>
          <w:rFonts w:hint="eastAsia" w:ascii="宋体" w:hAnsi="宋体"/>
          <w:sz w:val="24"/>
          <w:szCs w:val="24"/>
        </w:rPr>
        <w:t>（五）采购代理机构不得泄露采购人提供的任何信息。</w:t>
      </w:r>
    </w:p>
    <w:p>
      <w:pPr>
        <w:autoSpaceDE w:val="0"/>
        <w:autoSpaceDN w:val="0"/>
        <w:ind w:firstLine="480" w:firstLineChars="200"/>
        <w:rPr>
          <w:rFonts w:ascii="宋体" w:hAnsi="宋体"/>
          <w:color w:val="000000" w:themeColor="text1"/>
          <w:sz w:val="24"/>
          <w:szCs w:val="24"/>
          <w14:textFill>
            <w14:solidFill>
              <w14:schemeClr w14:val="tx1"/>
            </w14:solidFill>
          </w14:textFill>
        </w:rPr>
      </w:pPr>
      <w:r>
        <w:rPr>
          <w:rFonts w:hint="eastAsia" w:ascii="宋体" w:hAnsi="宋体"/>
          <w:sz w:val="24"/>
          <w:szCs w:val="24"/>
        </w:rPr>
        <w:t>（</w:t>
      </w:r>
      <w:r>
        <w:rPr>
          <w:rFonts w:hint="eastAsia" w:ascii="宋体" w:hAnsi="宋体"/>
          <w:color w:val="000000" w:themeColor="text1"/>
          <w:sz w:val="24"/>
          <w:szCs w:val="24"/>
          <w14:textFill>
            <w14:solidFill>
              <w14:schemeClr w14:val="tx1"/>
            </w14:solidFill>
          </w14:textFill>
        </w:rPr>
        <w:t>六）采购代理机构须配合采购人接受财政、审计、纪检监察等部门的监督检查，如实报告有关情况，及时提供有关资料。采购资料保存期限为招标结束之日起至少15年。</w:t>
      </w:r>
    </w:p>
    <w:p>
      <w:pPr>
        <w:pStyle w:val="4"/>
        <w:spacing w:line="360" w:lineRule="auto"/>
        <w:ind w:firstLine="482" w:firstLineChars="200"/>
        <w:rPr>
          <w:rFonts w:ascii="宋体" w:hAnsi="宋体"/>
          <w:color w:val="000000" w:themeColor="text1"/>
          <w:sz w:val="24"/>
          <w:szCs w:val="24"/>
          <w14:textFill>
            <w14:solidFill>
              <w14:schemeClr w14:val="tx1"/>
            </w14:solidFill>
          </w14:textFill>
        </w:rPr>
      </w:pPr>
      <w:bookmarkStart w:id="29" w:name="_Toc86257285"/>
      <w:bookmarkStart w:id="30" w:name="_Toc101697393"/>
      <w:bookmarkStart w:id="31" w:name="_Toc49159299"/>
      <w:r>
        <w:rPr>
          <w:rFonts w:hint="eastAsia" w:ascii="宋体" w:hAnsi="宋体"/>
          <w:color w:val="000000" w:themeColor="text1"/>
          <w:sz w:val="24"/>
          <w:szCs w:val="24"/>
          <w14:textFill>
            <w14:solidFill>
              <w14:schemeClr w14:val="tx1"/>
            </w14:solidFill>
          </w14:textFill>
        </w:rPr>
        <w:t>三、</w:t>
      </w:r>
      <w:bookmarkEnd w:id="29"/>
      <w:bookmarkEnd w:id="30"/>
      <w:bookmarkEnd w:id="31"/>
      <w:bookmarkStart w:id="32" w:name="_Toc101697394"/>
      <w:bookmarkStart w:id="33" w:name="_Toc86257286"/>
      <w:r>
        <w:rPr>
          <w:rFonts w:hint="eastAsia" w:ascii="宋体" w:hAnsi="宋体"/>
          <w:color w:val="000000" w:themeColor="text1"/>
          <w:sz w:val="24"/>
          <w:szCs w:val="24"/>
          <w14:textFill>
            <w14:solidFill>
              <w14:schemeClr w14:val="tx1"/>
            </w14:solidFill>
          </w14:textFill>
        </w:rPr>
        <w:t>保密要求</w:t>
      </w:r>
      <w:bookmarkEnd w:id="32"/>
      <w:bookmarkEnd w:id="33"/>
    </w:p>
    <w:p>
      <w:pPr>
        <w:snapToGrid w:val="0"/>
        <w:spacing w:line="360" w:lineRule="auto"/>
        <w:ind w:firstLine="480" w:firstLineChars="200"/>
        <w:rPr>
          <w:rFonts w:ascii="宋体" w:hAnsi="宋体"/>
          <w:sz w:val="24"/>
          <w:szCs w:val="24"/>
        </w:rPr>
      </w:pPr>
      <w:r>
        <w:rPr>
          <w:rFonts w:hint="eastAsia" w:ascii="宋体" w:hAnsi="宋体"/>
          <w:sz w:val="24"/>
          <w:szCs w:val="24"/>
        </w:rPr>
        <w:t>成交供应商在本项目执行过程中应对所获悉的资料保密，未经采购人允许不得随意公布、转交给第三方。成交供应商若有违反保密规定的，采购人有权终止合同；情节严重的，采购人将追究其相关法律责任。</w:t>
      </w:r>
    </w:p>
    <w:p>
      <w:pPr>
        <w:snapToGrid w:val="0"/>
        <w:spacing w:line="360" w:lineRule="auto"/>
        <w:ind w:firstLine="480" w:firstLineChars="200"/>
        <w:rPr>
          <w:rFonts w:ascii="宋体" w:hAnsi="宋体"/>
          <w:sz w:val="24"/>
          <w:szCs w:val="24"/>
        </w:rPr>
      </w:pPr>
    </w:p>
    <w:bookmarkEnd w:id="19"/>
    <w:bookmarkEnd w:id="20"/>
    <w:bookmarkEnd w:id="21"/>
    <w:p>
      <w:pPr>
        <w:pStyle w:val="3"/>
        <w:pageBreakBefore/>
        <w:snapToGrid w:val="0"/>
        <w:spacing w:beforeLines="50" w:line="360" w:lineRule="auto"/>
        <w:jc w:val="center"/>
        <w:rPr>
          <w:rFonts w:ascii="宋体" w:hAnsi="宋体" w:eastAsia="宋体"/>
          <w:sz w:val="36"/>
          <w:szCs w:val="30"/>
        </w:rPr>
      </w:pPr>
      <w:bookmarkStart w:id="34" w:name="_Toc101697395"/>
      <w:r>
        <w:rPr>
          <w:rFonts w:hint="eastAsia" w:ascii="宋体" w:hAnsi="宋体" w:eastAsia="宋体"/>
          <w:sz w:val="36"/>
          <w:szCs w:val="30"/>
        </w:rPr>
        <w:t>第三篇  项目商务需求</w:t>
      </w:r>
      <w:bookmarkEnd w:id="22"/>
      <w:bookmarkEnd w:id="34"/>
    </w:p>
    <w:p>
      <w:pPr>
        <w:snapToGrid w:val="0"/>
        <w:spacing w:line="360" w:lineRule="auto"/>
        <w:ind w:firstLine="422" w:firstLineChars="200"/>
        <w:rPr>
          <w:rFonts w:ascii="宋体" w:hAnsi="宋体"/>
          <w:b/>
          <w:sz w:val="24"/>
          <w:szCs w:val="24"/>
        </w:rPr>
      </w:pPr>
      <w:bookmarkStart w:id="35" w:name="_Toc267320049"/>
      <w:r>
        <w:rPr>
          <w:rFonts w:hint="eastAsia" w:ascii="宋体" w:hAnsi="宋体"/>
          <w:b/>
          <w:sz w:val="21"/>
          <w:szCs w:val="21"/>
        </w:rPr>
        <w:t>“※”标注的要求为符合性审查中的实质性要求，响应文件若不满足按无效响应处理。</w:t>
      </w:r>
    </w:p>
    <w:bookmarkEnd w:id="35"/>
    <w:p>
      <w:pPr>
        <w:pStyle w:val="4"/>
        <w:spacing w:line="360" w:lineRule="auto"/>
        <w:ind w:firstLine="482" w:firstLineChars="200"/>
        <w:rPr>
          <w:rFonts w:ascii="宋体" w:hAnsi="宋体"/>
          <w:sz w:val="24"/>
          <w:szCs w:val="24"/>
        </w:rPr>
      </w:pPr>
      <w:bookmarkStart w:id="36" w:name="_Toc484611845"/>
      <w:bookmarkStart w:id="37" w:name="_Toc86257288"/>
      <w:bookmarkStart w:id="38" w:name="_Toc101697396"/>
      <w:r>
        <w:rPr>
          <w:rFonts w:hint="eastAsia" w:ascii="宋体" w:hAnsi="宋体"/>
          <w:sz w:val="24"/>
          <w:szCs w:val="24"/>
        </w:rPr>
        <w:t>※一、服务期限、地点及评价方式</w:t>
      </w:r>
      <w:bookmarkEnd w:id="36"/>
      <w:bookmarkEnd w:id="37"/>
      <w:bookmarkEnd w:id="38"/>
    </w:p>
    <w:p>
      <w:pPr>
        <w:snapToGrid w:val="0"/>
        <w:spacing w:line="360" w:lineRule="auto"/>
        <w:ind w:firstLine="480" w:firstLineChars="200"/>
        <w:rPr>
          <w:rFonts w:ascii="宋体" w:hAnsi="宋体"/>
          <w:sz w:val="24"/>
          <w:szCs w:val="24"/>
        </w:rPr>
      </w:pPr>
      <w:bookmarkStart w:id="39" w:name="_Toc344475121"/>
      <w:r>
        <w:rPr>
          <w:rFonts w:hint="eastAsia" w:ascii="宋体" w:hAnsi="宋体"/>
          <w:sz w:val="24"/>
          <w:szCs w:val="24"/>
        </w:rPr>
        <w:t>（一）服务期限：</w:t>
      </w:r>
    </w:p>
    <w:p>
      <w:pPr>
        <w:snapToGrid w:val="0"/>
        <w:spacing w:line="360" w:lineRule="auto"/>
        <w:ind w:firstLine="480" w:firstLineChars="200"/>
        <w:rPr>
          <w:rFonts w:ascii="宋体" w:hAnsi="宋体"/>
          <w:sz w:val="24"/>
          <w:szCs w:val="24"/>
        </w:rPr>
      </w:pPr>
      <w:r>
        <w:rPr>
          <w:rFonts w:hint="eastAsia" w:ascii="宋体" w:hAnsi="宋体"/>
          <w:sz w:val="24"/>
          <w:szCs w:val="24"/>
        </w:rPr>
        <w:t>1.服务期限为：合同签订之日起二年。</w:t>
      </w:r>
    </w:p>
    <w:p>
      <w:pPr>
        <w:snapToGrid w:val="0"/>
        <w:spacing w:line="360" w:lineRule="auto"/>
        <w:ind w:firstLine="480" w:firstLineChars="200"/>
        <w:rPr>
          <w:rFonts w:ascii="宋体" w:hAnsi="宋体"/>
          <w:sz w:val="24"/>
          <w:szCs w:val="24"/>
        </w:rPr>
      </w:pPr>
      <w:r>
        <w:rPr>
          <w:rFonts w:hint="eastAsia" w:ascii="宋体" w:hAnsi="宋体"/>
          <w:sz w:val="24"/>
          <w:szCs w:val="24"/>
        </w:rPr>
        <w:t>2.合同期每满一年，采购人将对成交供应商的服务进行评价，若评价合格，可承接下一年工作；若评价不合格，采购人有权终止合同。</w:t>
      </w:r>
    </w:p>
    <w:p>
      <w:pPr>
        <w:snapToGrid w:val="0"/>
        <w:spacing w:line="360" w:lineRule="auto"/>
        <w:ind w:firstLine="480" w:firstLineChars="200"/>
        <w:rPr>
          <w:rFonts w:ascii="宋体" w:hAnsi="宋体"/>
          <w:sz w:val="24"/>
          <w:szCs w:val="24"/>
        </w:rPr>
      </w:pPr>
      <w:r>
        <w:rPr>
          <w:rFonts w:hint="eastAsia" w:ascii="宋体" w:hAnsi="宋体"/>
          <w:sz w:val="24"/>
          <w:szCs w:val="24"/>
        </w:rPr>
        <w:t>（二）服务地点：</w:t>
      </w:r>
    </w:p>
    <w:p>
      <w:pPr>
        <w:snapToGrid w:val="0"/>
        <w:spacing w:line="360" w:lineRule="auto"/>
        <w:ind w:firstLine="480" w:firstLineChars="200"/>
        <w:rPr>
          <w:rFonts w:ascii="宋体" w:hAnsi="宋体"/>
          <w:sz w:val="24"/>
          <w:szCs w:val="24"/>
        </w:rPr>
      </w:pPr>
      <w:r>
        <w:rPr>
          <w:rFonts w:hint="eastAsia" w:ascii="宋体" w:hAnsi="宋体"/>
          <w:sz w:val="24"/>
          <w:szCs w:val="24"/>
        </w:rPr>
        <w:t>重庆市档案馆同意或指定地点。</w:t>
      </w:r>
    </w:p>
    <w:p>
      <w:pPr>
        <w:snapToGrid w:val="0"/>
        <w:spacing w:line="360" w:lineRule="auto"/>
        <w:ind w:firstLine="480" w:firstLineChars="200"/>
        <w:rPr>
          <w:rFonts w:ascii="宋体" w:hAnsi="宋体"/>
          <w:sz w:val="24"/>
          <w:szCs w:val="24"/>
        </w:rPr>
      </w:pPr>
      <w:r>
        <w:rPr>
          <w:rFonts w:hint="eastAsia" w:ascii="宋体" w:hAnsi="宋体"/>
          <w:sz w:val="24"/>
          <w:szCs w:val="24"/>
        </w:rPr>
        <w:t>（三）评价方式：</w:t>
      </w:r>
    </w:p>
    <w:p>
      <w:pPr>
        <w:snapToGrid w:val="0"/>
        <w:spacing w:line="360" w:lineRule="auto"/>
        <w:ind w:firstLine="480" w:firstLineChars="200"/>
        <w:rPr>
          <w:rFonts w:ascii="宋体" w:hAnsi="宋体"/>
          <w:sz w:val="24"/>
          <w:szCs w:val="24"/>
        </w:rPr>
      </w:pPr>
      <w:r>
        <w:rPr>
          <w:rFonts w:hint="eastAsia" w:ascii="宋体" w:hAnsi="宋体"/>
          <w:sz w:val="24"/>
          <w:szCs w:val="24"/>
        </w:rPr>
        <w:t>1.评价单位：重庆市档案馆。</w:t>
      </w:r>
    </w:p>
    <w:p>
      <w:pPr>
        <w:snapToGrid w:val="0"/>
        <w:spacing w:line="360" w:lineRule="auto"/>
        <w:ind w:firstLine="480" w:firstLineChars="200"/>
        <w:rPr>
          <w:rFonts w:ascii="宋体" w:hAnsi="宋体"/>
          <w:sz w:val="24"/>
          <w:szCs w:val="24"/>
        </w:rPr>
      </w:pPr>
      <w:r>
        <w:rPr>
          <w:rFonts w:hint="eastAsia" w:ascii="宋体" w:hAnsi="宋体"/>
          <w:sz w:val="24"/>
          <w:szCs w:val="24"/>
        </w:rPr>
        <w:t>2.评价标准：按照合同规定对成交供应商的服务进行评价，如达不到合同要求，视为该项目不合格，采购人有权立即终止合同；给采购人造成损失的，还将追究其相关法律责任。包含但不限于如下条款（合同签订时由采购人与供应商共同协商完善考核标准）：</w:t>
      </w:r>
    </w:p>
    <w:p>
      <w:pPr>
        <w:snapToGrid w:val="0"/>
        <w:spacing w:line="360" w:lineRule="auto"/>
        <w:ind w:firstLine="480" w:firstLineChars="200"/>
        <w:rPr>
          <w:rFonts w:ascii="宋体" w:hAnsi="宋体"/>
          <w:sz w:val="24"/>
          <w:szCs w:val="24"/>
        </w:rPr>
      </w:pPr>
      <w:r>
        <w:rPr>
          <w:rFonts w:hint="eastAsia" w:ascii="宋体" w:hAnsi="宋体"/>
          <w:sz w:val="24"/>
          <w:szCs w:val="24"/>
        </w:rPr>
        <w:t>（1）是否按时递交采购文件初稿。</w:t>
      </w:r>
    </w:p>
    <w:p>
      <w:pPr>
        <w:snapToGrid w:val="0"/>
        <w:spacing w:line="360" w:lineRule="auto"/>
        <w:ind w:firstLine="480" w:firstLineChars="200"/>
        <w:rPr>
          <w:rFonts w:ascii="宋体" w:hAnsi="宋体"/>
          <w:sz w:val="24"/>
          <w:szCs w:val="24"/>
        </w:rPr>
      </w:pPr>
      <w:r>
        <w:rPr>
          <w:rFonts w:hint="eastAsia" w:ascii="宋体" w:hAnsi="宋体"/>
          <w:sz w:val="24"/>
          <w:szCs w:val="24"/>
        </w:rPr>
        <w:t>（2）项目采购过程是否符合相关法律规定和相关程序要求。</w:t>
      </w:r>
    </w:p>
    <w:p>
      <w:pPr>
        <w:snapToGrid w:val="0"/>
        <w:spacing w:line="360" w:lineRule="auto"/>
        <w:ind w:firstLine="480" w:firstLineChars="200"/>
        <w:rPr>
          <w:rFonts w:ascii="宋体" w:hAnsi="宋体"/>
          <w:sz w:val="24"/>
          <w:szCs w:val="24"/>
        </w:rPr>
      </w:pPr>
      <w:r>
        <w:rPr>
          <w:rFonts w:hint="eastAsia" w:ascii="宋体" w:hAnsi="宋体"/>
          <w:sz w:val="24"/>
          <w:szCs w:val="24"/>
        </w:rPr>
        <w:t>（3）项目推进是否及时，是否存在过失行为。</w:t>
      </w:r>
    </w:p>
    <w:p>
      <w:pPr>
        <w:snapToGrid w:val="0"/>
        <w:spacing w:line="360" w:lineRule="auto"/>
        <w:ind w:firstLine="480" w:firstLineChars="200"/>
        <w:rPr>
          <w:rFonts w:ascii="宋体" w:hAnsi="宋体"/>
          <w:sz w:val="24"/>
          <w:szCs w:val="24"/>
        </w:rPr>
      </w:pPr>
      <w:r>
        <w:rPr>
          <w:rFonts w:hint="eastAsia" w:ascii="宋体" w:hAnsi="宋体"/>
          <w:sz w:val="24"/>
          <w:szCs w:val="24"/>
        </w:rPr>
        <w:t>（4）采购档案是否及时归档并移交我单位。</w:t>
      </w:r>
    </w:p>
    <w:p>
      <w:pPr>
        <w:snapToGrid w:val="0"/>
        <w:spacing w:line="360" w:lineRule="auto"/>
        <w:ind w:firstLine="480" w:firstLineChars="200"/>
        <w:rPr>
          <w:rFonts w:ascii="宋体" w:hAnsi="宋体"/>
          <w:sz w:val="24"/>
          <w:szCs w:val="24"/>
        </w:rPr>
      </w:pPr>
      <w:r>
        <w:rPr>
          <w:rFonts w:hint="eastAsia" w:ascii="宋体" w:hAnsi="宋体"/>
          <w:sz w:val="24"/>
          <w:szCs w:val="24"/>
        </w:rPr>
        <w:t>按每一项目计分，有一项目不符合要求，则扣掉5分，80分为及格，不及格者我单位有权选择不续签合同。</w:t>
      </w:r>
    </w:p>
    <w:p>
      <w:pPr>
        <w:pStyle w:val="4"/>
        <w:spacing w:line="360" w:lineRule="auto"/>
        <w:ind w:firstLine="482" w:firstLineChars="200"/>
        <w:rPr>
          <w:rFonts w:ascii="宋体" w:hAnsi="宋体"/>
          <w:sz w:val="24"/>
          <w:szCs w:val="24"/>
        </w:rPr>
      </w:pPr>
      <w:bookmarkStart w:id="40" w:name="_Toc86257289"/>
      <w:bookmarkStart w:id="41" w:name="_Toc484611846"/>
      <w:bookmarkStart w:id="42" w:name="_Toc101697397"/>
      <w:r>
        <w:rPr>
          <w:rFonts w:hint="eastAsia" w:ascii="宋体" w:hAnsi="宋体"/>
          <w:sz w:val="24"/>
          <w:szCs w:val="24"/>
        </w:rPr>
        <w:t>※二、</w:t>
      </w:r>
      <w:bookmarkEnd w:id="39"/>
      <w:r>
        <w:rPr>
          <w:rFonts w:hint="eastAsia" w:ascii="宋体" w:hAnsi="宋体"/>
          <w:sz w:val="24"/>
          <w:szCs w:val="24"/>
        </w:rPr>
        <w:t>报价要求</w:t>
      </w:r>
      <w:bookmarkEnd w:id="40"/>
      <w:bookmarkEnd w:id="41"/>
      <w:bookmarkEnd w:id="42"/>
    </w:p>
    <w:p>
      <w:pPr>
        <w:snapToGrid w:val="0"/>
        <w:spacing w:line="360" w:lineRule="auto"/>
        <w:ind w:firstLine="480" w:firstLineChars="200"/>
        <w:rPr>
          <w:rFonts w:ascii="宋体" w:hAnsi="宋体"/>
          <w:sz w:val="24"/>
          <w:szCs w:val="24"/>
        </w:rPr>
      </w:pPr>
      <w:r>
        <w:rPr>
          <w:rFonts w:hint="eastAsia" w:ascii="宋体" w:hAnsi="宋体"/>
          <w:sz w:val="24"/>
          <w:szCs w:val="24"/>
        </w:rPr>
        <w:t>（一）本项目的磋商报价为包干价。包括（但不限于）采购代理费、评标专家费（至少两名）、办公配套费、人工费、税费及其它与本项目相关的一切费用。因供应商对磋商报价估计不足或市场价格波动，一律由成交供应商自行负责，采购人均不承担价差补偿。</w:t>
      </w:r>
    </w:p>
    <w:p>
      <w:pPr>
        <w:snapToGrid w:val="0"/>
        <w:spacing w:line="360" w:lineRule="auto"/>
        <w:ind w:firstLine="480" w:firstLineChars="200"/>
        <w:rPr>
          <w:rFonts w:ascii="宋体" w:hAnsi="宋体"/>
          <w:sz w:val="24"/>
          <w:szCs w:val="24"/>
        </w:rPr>
      </w:pPr>
      <w:r>
        <w:rPr>
          <w:rFonts w:hint="eastAsia" w:ascii="宋体" w:hAnsi="宋体"/>
          <w:sz w:val="24"/>
          <w:szCs w:val="24"/>
        </w:rPr>
        <w:t>（二）采购人不向成交供应商支付任何款项，待后续进行项目采购代理时，由项目中标人向成交供应商支付采购代理服务费。</w:t>
      </w:r>
    </w:p>
    <w:p>
      <w:pPr>
        <w:snapToGrid w:val="0"/>
        <w:spacing w:line="360" w:lineRule="auto"/>
        <w:ind w:firstLine="480" w:firstLineChars="200"/>
        <w:rPr>
          <w:rFonts w:ascii="宋体" w:hAnsi="宋体"/>
          <w:sz w:val="24"/>
          <w:szCs w:val="24"/>
        </w:rPr>
      </w:pPr>
      <w:r>
        <w:rPr>
          <w:rFonts w:hint="eastAsia" w:ascii="宋体" w:hAnsi="宋体"/>
          <w:sz w:val="24"/>
          <w:szCs w:val="24"/>
        </w:rPr>
        <w:t xml:space="preserve">（三）本项目报价分为“按标准收费”和“最低收费”两项： </w:t>
      </w:r>
    </w:p>
    <w:p>
      <w:pPr>
        <w:snapToGrid w:val="0"/>
        <w:spacing w:line="360" w:lineRule="auto"/>
        <w:ind w:firstLine="480" w:firstLineChars="200"/>
        <w:rPr>
          <w:rFonts w:ascii="宋体" w:hAnsi="宋体"/>
          <w:sz w:val="24"/>
          <w:szCs w:val="24"/>
        </w:rPr>
      </w:pPr>
      <w:r>
        <w:rPr>
          <w:rFonts w:hint="eastAsia" w:ascii="宋体" w:hAnsi="宋体"/>
          <w:sz w:val="24"/>
          <w:szCs w:val="24"/>
        </w:rPr>
        <w:t>1.“按标准收费”按下表执行：</w:t>
      </w:r>
    </w:p>
    <w:tbl>
      <w:tblPr>
        <w:tblStyle w:val="58"/>
        <w:tblW w:w="935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2183"/>
        <w:gridCol w:w="2183"/>
        <w:gridCol w:w="2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02" w:type="dxa"/>
            <w:tcBorders>
              <w:tl2br w:val="single" w:color="auto" w:sz="4" w:space="0"/>
            </w:tcBorders>
          </w:tcPr>
          <w:p>
            <w:pPr>
              <w:snapToGrid w:val="0"/>
              <w:ind w:firstLine="420" w:firstLineChars="200"/>
              <w:rPr>
                <w:rFonts w:ascii="宋体" w:hAnsi="宋体"/>
                <w:sz w:val="21"/>
                <w:szCs w:val="21"/>
              </w:rPr>
            </w:pPr>
            <w:r>
              <w:rPr>
                <w:rFonts w:ascii="宋体" w:hAnsi="宋体"/>
                <w:sz w:val="21"/>
                <w:szCs w:val="21"/>
              </w:rPr>
              <w:pict>
                <v:line id="_x0000_s1026" o:spid="_x0000_s1026" o:spt="20" style="position:absolute;left:0pt;margin-left:-9pt;margin-top:-0.5pt;height:0.05pt;width:0.05pt;z-index:251659264;mso-width-relative:page;mso-height-relative:page;"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AcAGUbKAQAAaAMAAA4AAABkcnMvZTJvRG9jLnhtbK1TzY4T&#10;MQy+I/EOUe502qKuYNTpHrpaLgtU2uUB0iTTiUjiKE4705fgBZC4wYkjd95ml8fASX9g4YaYg5U4&#10;nz/7sz3zy8FZttMRDfiGT0ZjzrSXoIzfNPzd3fWzF5xhEl4JC143fK+RXy6ePpn3odZT6MAqHRmR&#10;eKz70PAupVBXFcpOO4EjCNrTYwvRiUTXuKlUFD2xO1tNx+OLqoeoQgSpEcl7dXjki8Lftlqmt22L&#10;OjHbcKotFRuLXWdbLeai3kQROiOPZYh/qMIJ4ynpmepKJMG20fxF5YyMgNCmkQRXQdsaqYsGUjMZ&#10;/6HmthNBFy3UHAznNuH/o5VvdqvIjKLZceaFoxE9fPx2/+Hzj++fyD58/cImuUl9wJqwS7+KWaYc&#10;/G24AfkemYdlJ/xGl2Lv9oEYSkT1KCRfMFCqdf8aFGHENkHp2NBGlympF2wog9mfB6OHxCQ5L57P&#10;OJPkzweqphL1KSxETK80OJYPDbfG546JWuxuMB2gJ0h2e7g21papW8/6hr+cTWclAMEalR8zDONm&#10;vbSR7UTem/Id8z6CRdh6dUhifY7TZeWOmU+aD91bg9qvYgZnP42zyDiuXt6X3+8F9esHWfw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Xz75g9YAAAAIAQAADwAAAAAAAAABACAAAAAiAAAAZHJzL2Rv&#10;d25yZXYueG1sUEsBAhQAFAAAAAgAh07iQAcAGUbKAQAAaAMAAA4AAAAAAAAAAQAgAAAAJQEAAGRy&#10;cy9lMm9Eb2MueG1sUEsFBgAAAAAGAAYAWQEAAGEFAAAAAA==&#10;">
                  <v:path arrowok="t"/>
                  <v:fill focussize="0,0"/>
                  <v:stroke/>
                  <v:imagedata o:title=""/>
                  <o:lock v:ext="edit"/>
                </v:line>
              </w:pict>
            </w:r>
            <w:r>
              <w:rPr>
                <w:rFonts w:hint="eastAsia" w:ascii="宋体" w:hAnsi="宋体"/>
                <w:sz w:val="21"/>
                <w:szCs w:val="21"/>
              </w:rPr>
              <w:t xml:space="preserve">        招标类型</w:t>
            </w:r>
          </w:p>
          <w:p>
            <w:pPr>
              <w:snapToGrid w:val="0"/>
              <w:rPr>
                <w:rFonts w:ascii="宋体" w:hAnsi="宋体"/>
                <w:sz w:val="21"/>
                <w:szCs w:val="21"/>
              </w:rPr>
            </w:pPr>
            <w:r>
              <w:rPr>
                <w:rFonts w:hint="eastAsia" w:ascii="宋体" w:hAnsi="宋体"/>
                <w:sz w:val="21"/>
                <w:szCs w:val="21"/>
              </w:rPr>
              <w:t>中标金额（万元）</w:t>
            </w:r>
          </w:p>
        </w:tc>
        <w:tc>
          <w:tcPr>
            <w:tcW w:w="2183" w:type="dxa"/>
            <w:vAlign w:val="center"/>
          </w:tcPr>
          <w:p>
            <w:pPr>
              <w:snapToGrid w:val="0"/>
              <w:ind w:firstLine="420" w:firstLineChars="200"/>
              <w:rPr>
                <w:rFonts w:ascii="宋体" w:hAnsi="宋体"/>
                <w:sz w:val="21"/>
                <w:szCs w:val="21"/>
              </w:rPr>
            </w:pPr>
            <w:r>
              <w:rPr>
                <w:rFonts w:hint="eastAsia" w:ascii="宋体" w:hAnsi="宋体"/>
                <w:sz w:val="21"/>
                <w:szCs w:val="21"/>
              </w:rPr>
              <w:t>货物招标</w:t>
            </w:r>
          </w:p>
        </w:tc>
        <w:tc>
          <w:tcPr>
            <w:tcW w:w="2183" w:type="dxa"/>
            <w:vAlign w:val="center"/>
          </w:tcPr>
          <w:p>
            <w:pPr>
              <w:snapToGrid w:val="0"/>
              <w:ind w:firstLine="420" w:firstLineChars="200"/>
              <w:rPr>
                <w:rFonts w:ascii="宋体" w:hAnsi="宋体"/>
                <w:sz w:val="21"/>
                <w:szCs w:val="21"/>
              </w:rPr>
            </w:pPr>
            <w:r>
              <w:rPr>
                <w:rFonts w:hint="eastAsia" w:ascii="宋体" w:hAnsi="宋体"/>
                <w:sz w:val="21"/>
                <w:szCs w:val="21"/>
              </w:rPr>
              <w:t>服务招标</w:t>
            </w:r>
          </w:p>
        </w:tc>
        <w:tc>
          <w:tcPr>
            <w:tcW w:w="2183" w:type="dxa"/>
            <w:vAlign w:val="center"/>
          </w:tcPr>
          <w:p>
            <w:pPr>
              <w:snapToGrid w:val="0"/>
              <w:ind w:firstLine="420" w:firstLineChars="200"/>
              <w:rPr>
                <w:rFonts w:ascii="宋体" w:hAnsi="宋体"/>
                <w:sz w:val="21"/>
                <w:szCs w:val="21"/>
              </w:rPr>
            </w:pPr>
            <w:r>
              <w:rPr>
                <w:rFonts w:hint="eastAsia" w:ascii="宋体" w:hAnsi="宋体"/>
                <w:sz w:val="21"/>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02" w:type="dxa"/>
            <w:vAlign w:val="center"/>
          </w:tcPr>
          <w:p>
            <w:pPr>
              <w:snapToGrid w:val="0"/>
              <w:jc w:val="center"/>
              <w:rPr>
                <w:rFonts w:ascii="宋体" w:hAnsi="宋体"/>
                <w:sz w:val="21"/>
                <w:szCs w:val="21"/>
              </w:rPr>
            </w:pPr>
            <w:r>
              <w:rPr>
                <w:rFonts w:hint="eastAsia" w:ascii="宋体" w:hAnsi="宋体"/>
                <w:sz w:val="21"/>
                <w:szCs w:val="21"/>
              </w:rPr>
              <w:t>100及以下</w:t>
            </w:r>
          </w:p>
        </w:tc>
        <w:tc>
          <w:tcPr>
            <w:tcW w:w="2183" w:type="dxa"/>
            <w:vAlign w:val="center"/>
          </w:tcPr>
          <w:p>
            <w:pPr>
              <w:snapToGrid w:val="0"/>
              <w:jc w:val="center"/>
              <w:rPr>
                <w:rFonts w:ascii="宋体" w:hAnsi="宋体"/>
                <w:sz w:val="21"/>
                <w:szCs w:val="21"/>
              </w:rPr>
            </w:pPr>
            <w:r>
              <w:rPr>
                <w:rFonts w:hint="eastAsia" w:ascii="宋体" w:hAnsi="宋体"/>
                <w:sz w:val="21"/>
                <w:szCs w:val="21"/>
              </w:rPr>
              <w:t>1.5%</w:t>
            </w:r>
          </w:p>
        </w:tc>
        <w:tc>
          <w:tcPr>
            <w:tcW w:w="2183" w:type="dxa"/>
            <w:vAlign w:val="center"/>
          </w:tcPr>
          <w:p>
            <w:pPr>
              <w:snapToGrid w:val="0"/>
              <w:jc w:val="center"/>
              <w:rPr>
                <w:rFonts w:ascii="宋体" w:hAnsi="宋体"/>
                <w:sz w:val="21"/>
                <w:szCs w:val="21"/>
              </w:rPr>
            </w:pPr>
            <w:r>
              <w:rPr>
                <w:rFonts w:hint="eastAsia" w:ascii="宋体" w:hAnsi="宋体"/>
                <w:sz w:val="21"/>
                <w:szCs w:val="21"/>
              </w:rPr>
              <w:t>1.5%</w:t>
            </w:r>
          </w:p>
        </w:tc>
        <w:tc>
          <w:tcPr>
            <w:tcW w:w="2183" w:type="dxa"/>
            <w:vAlign w:val="center"/>
          </w:tcPr>
          <w:p>
            <w:pPr>
              <w:snapToGrid w:val="0"/>
              <w:jc w:val="center"/>
              <w:rPr>
                <w:rFonts w:ascii="宋体" w:hAnsi="宋体"/>
                <w:sz w:val="21"/>
                <w:szCs w:val="21"/>
              </w:rPr>
            </w:pPr>
            <w:r>
              <w:rPr>
                <w:rFonts w:hint="eastAsia" w:ascii="宋体" w:hAnsi="宋体"/>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02" w:type="dxa"/>
            <w:vAlign w:val="center"/>
          </w:tcPr>
          <w:p>
            <w:pPr>
              <w:snapToGrid w:val="0"/>
              <w:jc w:val="center"/>
              <w:rPr>
                <w:rFonts w:ascii="宋体" w:hAnsi="宋体"/>
                <w:sz w:val="21"/>
                <w:szCs w:val="21"/>
              </w:rPr>
            </w:pPr>
            <w:r>
              <w:rPr>
                <w:rFonts w:hint="eastAsia" w:ascii="宋体" w:hAnsi="宋体"/>
                <w:sz w:val="21"/>
                <w:szCs w:val="21"/>
              </w:rPr>
              <w:t>100-500（含500）</w:t>
            </w:r>
          </w:p>
        </w:tc>
        <w:tc>
          <w:tcPr>
            <w:tcW w:w="2183" w:type="dxa"/>
            <w:vAlign w:val="center"/>
          </w:tcPr>
          <w:p>
            <w:pPr>
              <w:snapToGrid w:val="0"/>
              <w:jc w:val="center"/>
              <w:rPr>
                <w:rFonts w:ascii="宋体" w:hAnsi="宋体"/>
                <w:sz w:val="21"/>
                <w:szCs w:val="21"/>
              </w:rPr>
            </w:pPr>
            <w:r>
              <w:rPr>
                <w:rFonts w:hint="eastAsia" w:ascii="宋体" w:hAnsi="宋体"/>
                <w:sz w:val="21"/>
                <w:szCs w:val="21"/>
              </w:rPr>
              <w:t>1.1%</w:t>
            </w:r>
          </w:p>
        </w:tc>
        <w:tc>
          <w:tcPr>
            <w:tcW w:w="2183" w:type="dxa"/>
            <w:vAlign w:val="center"/>
          </w:tcPr>
          <w:p>
            <w:pPr>
              <w:snapToGrid w:val="0"/>
              <w:jc w:val="center"/>
              <w:rPr>
                <w:rFonts w:ascii="宋体" w:hAnsi="宋体"/>
                <w:sz w:val="21"/>
                <w:szCs w:val="21"/>
              </w:rPr>
            </w:pPr>
            <w:r>
              <w:rPr>
                <w:rFonts w:hint="eastAsia" w:ascii="宋体" w:hAnsi="宋体"/>
                <w:sz w:val="21"/>
                <w:szCs w:val="21"/>
              </w:rPr>
              <w:t>0.8%</w:t>
            </w:r>
          </w:p>
        </w:tc>
        <w:tc>
          <w:tcPr>
            <w:tcW w:w="2183" w:type="dxa"/>
            <w:vAlign w:val="center"/>
          </w:tcPr>
          <w:p>
            <w:pPr>
              <w:snapToGrid w:val="0"/>
              <w:jc w:val="center"/>
              <w:rPr>
                <w:rFonts w:ascii="宋体" w:hAnsi="宋体"/>
                <w:sz w:val="21"/>
                <w:szCs w:val="21"/>
              </w:rPr>
            </w:pPr>
            <w:r>
              <w:rPr>
                <w:rFonts w:hint="eastAsia" w:ascii="宋体" w:hAnsi="宋体"/>
                <w:sz w:val="21"/>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02" w:type="dxa"/>
            <w:vAlign w:val="center"/>
          </w:tcPr>
          <w:p>
            <w:pPr>
              <w:snapToGrid w:val="0"/>
              <w:jc w:val="center"/>
              <w:rPr>
                <w:rFonts w:ascii="宋体" w:hAnsi="宋体"/>
                <w:sz w:val="21"/>
                <w:szCs w:val="21"/>
              </w:rPr>
            </w:pPr>
            <w:r>
              <w:rPr>
                <w:rFonts w:hint="eastAsia" w:ascii="宋体" w:hAnsi="宋体"/>
                <w:sz w:val="21"/>
                <w:szCs w:val="21"/>
              </w:rPr>
              <w:t>500-1000（含1000）</w:t>
            </w:r>
          </w:p>
        </w:tc>
        <w:tc>
          <w:tcPr>
            <w:tcW w:w="2183" w:type="dxa"/>
            <w:vAlign w:val="center"/>
          </w:tcPr>
          <w:p>
            <w:pPr>
              <w:snapToGrid w:val="0"/>
              <w:jc w:val="center"/>
              <w:rPr>
                <w:rFonts w:ascii="宋体" w:hAnsi="宋体"/>
                <w:sz w:val="21"/>
                <w:szCs w:val="21"/>
              </w:rPr>
            </w:pPr>
            <w:r>
              <w:rPr>
                <w:rFonts w:hint="eastAsia" w:ascii="宋体" w:hAnsi="宋体"/>
                <w:sz w:val="21"/>
                <w:szCs w:val="21"/>
              </w:rPr>
              <w:t>0.8%</w:t>
            </w:r>
          </w:p>
        </w:tc>
        <w:tc>
          <w:tcPr>
            <w:tcW w:w="2183" w:type="dxa"/>
            <w:vAlign w:val="center"/>
          </w:tcPr>
          <w:p>
            <w:pPr>
              <w:snapToGrid w:val="0"/>
              <w:jc w:val="center"/>
              <w:rPr>
                <w:rFonts w:ascii="宋体" w:hAnsi="宋体"/>
                <w:sz w:val="21"/>
                <w:szCs w:val="21"/>
              </w:rPr>
            </w:pPr>
            <w:r>
              <w:rPr>
                <w:rFonts w:hint="eastAsia" w:ascii="宋体" w:hAnsi="宋体"/>
                <w:sz w:val="21"/>
                <w:szCs w:val="21"/>
              </w:rPr>
              <w:t>0.45%</w:t>
            </w:r>
          </w:p>
        </w:tc>
        <w:tc>
          <w:tcPr>
            <w:tcW w:w="2183" w:type="dxa"/>
            <w:vAlign w:val="center"/>
          </w:tcPr>
          <w:p>
            <w:pPr>
              <w:snapToGrid w:val="0"/>
              <w:jc w:val="center"/>
              <w:rPr>
                <w:rFonts w:ascii="宋体" w:hAnsi="宋体"/>
                <w:sz w:val="21"/>
                <w:szCs w:val="21"/>
              </w:rPr>
            </w:pPr>
            <w:r>
              <w:rPr>
                <w:rFonts w:hint="eastAsia" w:ascii="宋体" w:hAnsi="宋体"/>
                <w:sz w:val="21"/>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02" w:type="dxa"/>
            <w:vAlign w:val="center"/>
          </w:tcPr>
          <w:p>
            <w:pPr>
              <w:snapToGrid w:val="0"/>
              <w:jc w:val="center"/>
              <w:rPr>
                <w:rFonts w:ascii="宋体" w:hAnsi="宋体"/>
                <w:sz w:val="21"/>
                <w:szCs w:val="21"/>
              </w:rPr>
            </w:pPr>
            <w:r>
              <w:rPr>
                <w:rFonts w:hint="eastAsia" w:ascii="宋体" w:hAnsi="宋体"/>
                <w:sz w:val="21"/>
                <w:szCs w:val="21"/>
              </w:rPr>
              <w:t>1000-5000（含5000）</w:t>
            </w:r>
          </w:p>
        </w:tc>
        <w:tc>
          <w:tcPr>
            <w:tcW w:w="2183" w:type="dxa"/>
            <w:vAlign w:val="center"/>
          </w:tcPr>
          <w:p>
            <w:pPr>
              <w:snapToGrid w:val="0"/>
              <w:jc w:val="center"/>
              <w:rPr>
                <w:rFonts w:ascii="宋体" w:hAnsi="宋体"/>
                <w:sz w:val="21"/>
                <w:szCs w:val="21"/>
              </w:rPr>
            </w:pPr>
            <w:r>
              <w:rPr>
                <w:rFonts w:hint="eastAsia" w:ascii="宋体" w:hAnsi="宋体"/>
                <w:sz w:val="21"/>
                <w:szCs w:val="21"/>
              </w:rPr>
              <w:t>0.5%</w:t>
            </w:r>
          </w:p>
        </w:tc>
        <w:tc>
          <w:tcPr>
            <w:tcW w:w="2183" w:type="dxa"/>
            <w:vAlign w:val="center"/>
          </w:tcPr>
          <w:p>
            <w:pPr>
              <w:snapToGrid w:val="0"/>
              <w:jc w:val="center"/>
              <w:rPr>
                <w:rFonts w:ascii="宋体" w:hAnsi="宋体"/>
                <w:sz w:val="21"/>
                <w:szCs w:val="21"/>
              </w:rPr>
            </w:pPr>
            <w:r>
              <w:rPr>
                <w:rFonts w:hint="eastAsia" w:ascii="宋体" w:hAnsi="宋体"/>
                <w:sz w:val="21"/>
                <w:szCs w:val="21"/>
              </w:rPr>
              <w:t>0.25%</w:t>
            </w:r>
          </w:p>
        </w:tc>
        <w:tc>
          <w:tcPr>
            <w:tcW w:w="2183" w:type="dxa"/>
            <w:vAlign w:val="center"/>
          </w:tcPr>
          <w:p>
            <w:pPr>
              <w:snapToGrid w:val="0"/>
              <w:jc w:val="center"/>
              <w:rPr>
                <w:rFonts w:ascii="宋体" w:hAnsi="宋体"/>
                <w:sz w:val="21"/>
                <w:szCs w:val="21"/>
              </w:rPr>
            </w:pPr>
            <w:r>
              <w:rPr>
                <w:rFonts w:hint="eastAsia" w:ascii="宋体" w:hAnsi="宋体"/>
                <w:sz w:val="21"/>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02" w:type="dxa"/>
            <w:vAlign w:val="center"/>
          </w:tcPr>
          <w:p>
            <w:pPr>
              <w:snapToGrid w:val="0"/>
              <w:jc w:val="center"/>
              <w:rPr>
                <w:rFonts w:ascii="宋体" w:hAnsi="宋体"/>
                <w:sz w:val="21"/>
                <w:szCs w:val="21"/>
              </w:rPr>
            </w:pPr>
            <w:r>
              <w:rPr>
                <w:rFonts w:hint="eastAsia" w:ascii="宋体" w:hAnsi="宋体"/>
                <w:sz w:val="21"/>
                <w:szCs w:val="21"/>
              </w:rPr>
              <w:t>5000-10000（含10000）</w:t>
            </w:r>
          </w:p>
        </w:tc>
        <w:tc>
          <w:tcPr>
            <w:tcW w:w="2183" w:type="dxa"/>
            <w:vAlign w:val="center"/>
          </w:tcPr>
          <w:p>
            <w:pPr>
              <w:snapToGrid w:val="0"/>
              <w:jc w:val="center"/>
              <w:rPr>
                <w:rFonts w:ascii="宋体" w:hAnsi="宋体"/>
                <w:sz w:val="21"/>
                <w:szCs w:val="21"/>
              </w:rPr>
            </w:pPr>
            <w:r>
              <w:rPr>
                <w:rFonts w:hint="eastAsia" w:ascii="宋体" w:hAnsi="宋体"/>
                <w:sz w:val="21"/>
                <w:szCs w:val="21"/>
              </w:rPr>
              <w:t>0.25%</w:t>
            </w:r>
          </w:p>
        </w:tc>
        <w:tc>
          <w:tcPr>
            <w:tcW w:w="2183" w:type="dxa"/>
            <w:vAlign w:val="center"/>
          </w:tcPr>
          <w:p>
            <w:pPr>
              <w:snapToGrid w:val="0"/>
              <w:jc w:val="center"/>
              <w:rPr>
                <w:rFonts w:ascii="宋体" w:hAnsi="宋体"/>
                <w:sz w:val="21"/>
                <w:szCs w:val="21"/>
              </w:rPr>
            </w:pPr>
            <w:r>
              <w:rPr>
                <w:rFonts w:hint="eastAsia" w:ascii="宋体" w:hAnsi="宋体"/>
                <w:sz w:val="21"/>
                <w:szCs w:val="21"/>
              </w:rPr>
              <w:t>0.1%</w:t>
            </w:r>
          </w:p>
        </w:tc>
        <w:tc>
          <w:tcPr>
            <w:tcW w:w="2183" w:type="dxa"/>
            <w:vAlign w:val="center"/>
          </w:tcPr>
          <w:p>
            <w:pPr>
              <w:snapToGrid w:val="0"/>
              <w:jc w:val="center"/>
              <w:rPr>
                <w:rFonts w:ascii="宋体" w:hAnsi="宋体"/>
                <w:sz w:val="21"/>
                <w:szCs w:val="21"/>
              </w:rPr>
            </w:pPr>
            <w:r>
              <w:rPr>
                <w:rFonts w:hint="eastAsia" w:ascii="宋体" w:hAnsi="宋体"/>
                <w:sz w:val="21"/>
                <w:szCs w:val="21"/>
              </w:rPr>
              <w:t>0.2%</w:t>
            </w:r>
          </w:p>
        </w:tc>
      </w:tr>
    </w:tbl>
    <w:p>
      <w:pPr>
        <w:snapToGrid w:val="0"/>
        <w:spacing w:line="360" w:lineRule="auto"/>
        <w:ind w:firstLine="480" w:firstLineChars="200"/>
        <w:rPr>
          <w:rFonts w:ascii="宋体" w:hAnsi="宋体"/>
          <w:sz w:val="24"/>
          <w:szCs w:val="24"/>
        </w:rPr>
      </w:pPr>
      <w:r>
        <w:rPr>
          <w:rFonts w:hint="eastAsia" w:ascii="宋体" w:hAnsi="宋体"/>
          <w:sz w:val="24"/>
          <w:szCs w:val="24"/>
        </w:rPr>
        <w:t>2.“最低收费”：当“按标准收费”计算出的采购代理费低于“最低收费”数额时，采购代理费按“最低收费”数额计取。</w:t>
      </w:r>
    </w:p>
    <w:p>
      <w:pPr>
        <w:snapToGrid w:val="0"/>
        <w:spacing w:line="360" w:lineRule="auto"/>
        <w:ind w:firstLine="482" w:firstLineChars="200"/>
        <w:rPr>
          <w:rFonts w:ascii="宋体" w:hAnsi="宋体"/>
          <w:color w:val="auto"/>
          <w:sz w:val="24"/>
          <w:szCs w:val="24"/>
        </w:rPr>
      </w:pPr>
      <w:r>
        <w:rPr>
          <w:rFonts w:hint="eastAsia" w:ascii="宋体" w:hAnsi="宋体"/>
          <w:b/>
          <w:color w:val="auto"/>
          <w:sz w:val="24"/>
          <w:szCs w:val="24"/>
        </w:rPr>
        <w:t>“最低收费”将作为磋商报价计入评分。</w:t>
      </w:r>
    </w:p>
    <w:p>
      <w:pPr>
        <w:snapToGrid w:val="0"/>
        <w:spacing w:line="360" w:lineRule="auto"/>
        <w:ind w:firstLine="480" w:firstLineChars="200"/>
        <w:rPr>
          <w:rFonts w:ascii="宋体" w:hAnsi="宋体"/>
          <w:bCs/>
          <w:sz w:val="24"/>
          <w:szCs w:val="24"/>
        </w:rPr>
      </w:pPr>
      <w:r>
        <w:rPr>
          <w:rFonts w:hint="eastAsia" w:ascii="宋体" w:hAnsi="宋体"/>
          <w:bCs/>
          <w:sz w:val="24"/>
          <w:szCs w:val="24"/>
        </w:rPr>
        <w:t>注：1）最低收费投标报价保留到个位整数，且不能为0，报价为0的将被视作无效报价。</w:t>
      </w:r>
    </w:p>
    <w:p>
      <w:pPr>
        <w:snapToGrid w:val="0"/>
        <w:spacing w:line="360" w:lineRule="auto"/>
        <w:ind w:firstLine="480" w:firstLineChars="200"/>
        <w:rPr>
          <w:rFonts w:ascii="宋体" w:hAnsi="宋体"/>
          <w:bCs/>
          <w:sz w:val="24"/>
          <w:szCs w:val="24"/>
        </w:rPr>
      </w:pPr>
      <w:r>
        <w:rPr>
          <w:rFonts w:hint="eastAsia" w:ascii="宋体" w:hAnsi="宋体"/>
          <w:bCs/>
          <w:sz w:val="24"/>
          <w:szCs w:val="24"/>
        </w:rPr>
        <w:t>2）若采购项目挂网平台为“重庆市政府采购云平台</w:t>
      </w:r>
      <w:r>
        <w:rPr>
          <w:rFonts w:ascii="宋体" w:hAnsi="宋体"/>
          <w:bCs/>
          <w:sz w:val="24"/>
          <w:szCs w:val="24"/>
        </w:rPr>
        <w:t>.网上竞采中心”，所产生的平台服务费用由成交供应商另行计入该项目采购代理服务费中。</w:t>
      </w:r>
    </w:p>
    <w:p>
      <w:pPr>
        <w:snapToGrid w:val="0"/>
        <w:spacing w:line="360" w:lineRule="auto"/>
        <w:ind w:firstLine="480" w:firstLineChars="200"/>
        <w:rPr>
          <w:rFonts w:ascii="宋体" w:hAnsi="宋体"/>
          <w:sz w:val="24"/>
          <w:szCs w:val="24"/>
        </w:rPr>
      </w:pPr>
      <w:r>
        <w:rPr>
          <w:rFonts w:hint="eastAsia" w:ascii="宋体" w:hAnsi="宋体"/>
          <w:sz w:val="24"/>
          <w:szCs w:val="24"/>
        </w:rPr>
        <w:t>（四）供应商磋商报价按本磋商文件格式填报。</w:t>
      </w:r>
    </w:p>
    <w:p>
      <w:pPr>
        <w:pStyle w:val="4"/>
        <w:spacing w:line="360" w:lineRule="auto"/>
        <w:ind w:firstLine="482" w:firstLineChars="200"/>
        <w:rPr>
          <w:rFonts w:ascii="宋体" w:hAnsi="宋体"/>
          <w:sz w:val="24"/>
          <w:szCs w:val="24"/>
        </w:rPr>
      </w:pPr>
      <w:bookmarkStart w:id="43" w:name="_Toc484611849"/>
      <w:bookmarkStart w:id="44" w:name="_Toc86257290"/>
      <w:bookmarkStart w:id="45" w:name="_Toc344475122"/>
      <w:bookmarkStart w:id="46" w:name="_Toc101697398"/>
      <w:r>
        <w:rPr>
          <w:rFonts w:hint="eastAsia" w:ascii="宋体" w:hAnsi="宋体"/>
          <w:sz w:val="24"/>
          <w:szCs w:val="24"/>
        </w:rPr>
        <w:t>※三、付款方式</w:t>
      </w:r>
      <w:bookmarkEnd w:id="43"/>
      <w:bookmarkEnd w:id="44"/>
      <w:bookmarkEnd w:id="45"/>
      <w:bookmarkEnd w:id="46"/>
    </w:p>
    <w:p>
      <w:pPr>
        <w:snapToGrid w:val="0"/>
        <w:spacing w:line="360" w:lineRule="auto"/>
        <w:ind w:firstLine="480" w:firstLineChars="200"/>
        <w:rPr>
          <w:rFonts w:ascii="宋体" w:hAnsi="宋体"/>
          <w:sz w:val="24"/>
          <w:szCs w:val="24"/>
        </w:rPr>
      </w:pPr>
      <w:bookmarkStart w:id="47" w:name="_Toc344475123"/>
      <w:r>
        <w:rPr>
          <w:rFonts w:hint="eastAsia" w:ascii="宋体" w:hAnsi="宋体"/>
          <w:sz w:val="24"/>
          <w:szCs w:val="24"/>
        </w:rPr>
        <w:t>采购人不向成交供应商支付任何款项，待后续进行项目采购代理时，由项目中标人向成交供应商支付采购代理服务费。</w:t>
      </w:r>
    </w:p>
    <w:p>
      <w:pPr>
        <w:pStyle w:val="4"/>
        <w:spacing w:line="360" w:lineRule="auto"/>
        <w:ind w:firstLine="482" w:firstLineChars="200"/>
        <w:rPr>
          <w:rFonts w:ascii="宋体" w:hAnsi="宋体"/>
          <w:sz w:val="24"/>
          <w:szCs w:val="24"/>
        </w:rPr>
      </w:pPr>
      <w:bookmarkStart w:id="48" w:name="_Toc498094723"/>
      <w:bookmarkStart w:id="49" w:name="_Toc528830632"/>
      <w:bookmarkStart w:id="50" w:name="_Toc15477126"/>
      <w:bookmarkStart w:id="51" w:name="_Toc101697399"/>
      <w:bookmarkStart w:id="52" w:name="_Toc86257291"/>
      <w:r>
        <w:rPr>
          <w:rFonts w:hint="eastAsia" w:ascii="宋体" w:hAnsi="宋体"/>
          <w:sz w:val="24"/>
          <w:szCs w:val="24"/>
        </w:rPr>
        <w:t>四、知识产权</w:t>
      </w:r>
      <w:bookmarkEnd w:id="48"/>
      <w:bookmarkEnd w:id="49"/>
      <w:bookmarkEnd w:id="50"/>
      <w:bookmarkEnd w:id="51"/>
      <w:bookmarkEnd w:id="52"/>
    </w:p>
    <w:p>
      <w:pPr>
        <w:snapToGrid w:val="0"/>
        <w:spacing w:line="360" w:lineRule="auto"/>
        <w:ind w:firstLine="480" w:firstLineChars="200"/>
        <w:rPr>
          <w:rFonts w:ascii="宋体" w:hAnsi="宋体"/>
          <w:sz w:val="24"/>
          <w:szCs w:val="24"/>
        </w:rPr>
      </w:pPr>
      <w:r>
        <w:rPr>
          <w:rFonts w:hint="eastAsia" w:ascii="宋体" w:hAnsi="宋体"/>
          <w:sz w:val="24"/>
          <w:szCs w:val="24"/>
        </w:rPr>
        <w:t>采购人在中华人民共和国境内使用供应商提供的货物及服务时免受第三方提出的侵犯其专利权或其它知识产权的起诉。如果第三方提出侵权指控，成交供应商应承担由此而引起的一切法律责任和费用。</w:t>
      </w:r>
    </w:p>
    <w:p>
      <w:pPr>
        <w:snapToGrid w:val="0"/>
        <w:spacing w:line="360" w:lineRule="auto"/>
        <w:ind w:firstLine="480" w:firstLineChars="200"/>
        <w:rPr>
          <w:rFonts w:ascii="宋体" w:hAnsi="宋体"/>
          <w:sz w:val="24"/>
          <w:szCs w:val="24"/>
        </w:rPr>
      </w:pPr>
      <w:r>
        <w:rPr>
          <w:rFonts w:hint="eastAsia" w:ascii="宋体" w:hAnsi="宋体"/>
          <w:sz w:val="24"/>
          <w:szCs w:val="24"/>
        </w:rPr>
        <w:t>（注：若涉及软件开发等服务类项目知识产权的，知识产权归采购人所有）。</w:t>
      </w:r>
    </w:p>
    <w:bookmarkEnd w:id="47"/>
    <w:p>
      <w:pPr>
        <w:pStyle w:val="4"/>
        <w:spacing w:line="360" w:lineRule="auto"/>
        <w:ind w:firstLine="482" w:firstLineChars="200"/>
        <w:rPr>
          <w:rFonts w:ascii="宋体" w:hAnsi="宋体"/>
          <w:sz w:val="24"/>
          <w:szCs w:val="24"/>
        </w:rPr>
      </w:pPr>
      <w:bookmarkStart w:id="53" w:name="_Toc484611852"/>
      <w:bookmarkStart w:id="54" w:name="_Toc86257292"/>
      <w:bookmarkStart w:id="55" w:name="_Toc101697400"/>
      <w:bookmarkStart w:id="56" w:name="_Toc344475125"/>
      <w:r>
        <w:rPr>
          <w:rFonts w:hint="eastAsia" w:ascii="宋体" w:hAnsi="宋体"/>
          <w:sz w:val="24"/>
          <w:szCs w:val="24"/>
        </w:rPr>
        <w:t>五、其他</w:t>
      </w:r>
      <w:bookmarkEnd w:id="53"/>
      <w:bookmarkEnd w:id="54"/>
      <w:bookmarkEnd w:id="55"/>
    </w:p>
    <w:bookmarkEnd w:id="56"/>
    <w:p>
      <w:pPr>
        <w:snapToGrid w:val="0"/>
        <w:spacing w:line="360" w:lineRule="auto"/>
        <w:ind w:firstLine="480" w:firstLineChars="200"/>
        <w:rPr>
          <w:rFonts w:ascii="宋体" w:hAnsi="宋体"/>
          <w:sz w:val="24"/>
          <w:szCs w:val="24"/>
        </w:rPr>
      </w:pPr>
      <w:r>
        <w:rPr>
          <w:rFonts w:hint="eastAsia" w:ascii="宋体" w:hAnsi="宋体"/>
          <w:sz w:val="24"/>
          <w:szCs w:val="24"/>
        </w:rPr>
        <w:t>其他事宜由合同双方在采购合同中补充说明。</w:t>
      </w:r>
    </w:p>
    <w:p>
      <w:pPr>
        <w:pStyle w:val="3"/>
        <w:pageBreakBefore/>
        <w:snapToGrid w:val="0"/>
        <w:spacing w:beforeLines="50" w:line="360" w:lineRule="auto"/>
        <w:jc w:val="center"/>
        <w:rPr>
          <w:rFonts w:ascii="宋体" w:hAnsi="宋体" w:eastAsia="宋体"/>
          <w:sz w:val="36"/>
          <w:szCs w:val="30"/>
        </w:rPr>
      </w:pPr>
      <w:bookmarkStart w:id="57" w:name="_Toc101697401"/>
      <w:r>
        <w:rPr>
          <w:rFonts w:hint="eastAsia" w:ascii="宋体" w:hAnsi="宋体" w:eastAsia="宋体"/>
          <w:sz w:val="36"/>
          <w:szCs w:val="30"/>
        </w:rPr>
        <w:t>第四篇  磋商程序及方法、评审标准、无效响应和采购终止</w:t>
      </w:r>
      <w:bookmarkEnd w:id="57"/>
    </w:p>
    <w:p>
      <w:pPr>
        <w:pStyle w:val="4"/>
        <w:snapToGrid w:val="0"/>
        <w:spacing w:line="360" w:lineRule="auto"/>
        <w:ind w:firstLine="482" w:firstLineChars="200"/>
        <w:rPr>
          <w:rFonts w:ascii="宋体" w:hAnsi="宋体"/>
          <w:sz w:val="24"/>
          <w:szCs w:val="24"/>
        </w:rPr>
      </w:pPr>
      <w:bookmarkStart w:id="58" w:name="_Toc101697402"/>
      <w:r>
        <w:rPr>
          <w:rFonts w:hint="eastAsia" w:ascii="宋体" w:hAnsi="宋体"/>
          <w:sz w:val="24"/>
          <w:szCs w:val="24"/>
        </w:rPr>
        <w:t>一、磋商程序及方法</w:t>
      </w:r>
      <w:bookmarkEnd w:id="58"/>
    </w:p>
    <w:p>
      <w:pPr>
        <w:spacing w:line="360" w:lineRule="auto"/>
        <w:ind w:firstLine="480" w:firstLineChars="200"/>
        <w:rPr>
          <w:rFonts w:ascii="宋体" w:hAnsi="宋体"/>
          <w:sz w:val="24"/>
          <w:szCs w:val="24"/>
        </w:rPr>
      </w:pPr>
      <w:r>
        <w:rPr>
          <w:rFonts w:hint="eastAsia" w:ascii="宋体" w:hAnsi="宋体"/>
          <w:sz w:val="24"/>
          <w:szCs w:val="24"/>
        </w:rPr>
        <w:t>（一）磋商按竞争性磋商文件规定的时间和地点进行，供应商须有法定代表人或其授权代表参加并签到。竞争性磋商以抽签的形式确定磋商顺序，由本项目依法组建的磋商小组分别与各供应商进行磋商。</w:t>
      </w:r>
    </w:p>
    <w:p>
      <w:pPr>
        <w:spacing w:line="360" w:lineRule="auto"/>
        <w:ind w:firstLine="480" w:firstLineChars="200"/>
        <w:rPr>
          <w:rFonts w:ascii="宋体" w:hAnsi="宋体"/>
          <w:sz w:val="24"/>
          <w:szCs w:val="24"/>
        </w:rPr>
      </w:pPr>
      <w:r>
        <w:rPr>
          <w:rFonts w:hint="eastAsia" w:ascii="宋体" w:hAnsi="宋体"/>
          <w:sz w:val="24"/>
          <w:szCs w:val="24"/>
        </w:rPr>
        <w:t>（二）磋商小组对各供应商的资格条件、响应文件的有效性、完整性和响应程度进行审查。各供应商只有在完全符合要求的前提下，才能参与正式磋商。</w:t>
      </w:r>
    </w:p>
    <w:p>
      <w:pPr>
        <w:snapToGrid w:val="0"/>
        <w:spacing w:line="360" w:lineRule="auto"/>
        <w:ind w:firstLine="480" w:firstLineChars="200"/>
        <w:rPr>
          <w:rFonts w:ascii="宋体" w:hAnsi="宋体" w:cs="宋体"/>
          <w:kern w:val="0"/>
          <w:sz w:val="24"/>
          <w:szCs w:val="24"/>
        </w:rPr>
      </w:pPr>
      <w:r>
        <w:rPr>
          <w:rFonts w:hint="eastAsia" w:ascii="宋体" w:hAnsi="宋体"/>
          <w:sz w:val="24"/>
          <w:szCs w:val="24"/>
        </w:rPr>
        <w:t>1.</w:t>
      </w:r>
      <w:r>
        <w:rPr>
          <w:rFonts w:hint="eastAsia" w:ascii="宋体" w:hAnsi="宋体" w:cs="宋体"/>
          <w:kern w:val="0"/>
          <w:sz w:val="24"/>
          <w:szCs w:val="24"/>
        </w:rPr>
        <w:t>资格性检查。依据法律法规和竞争性磋商文件的规定，对响应文件中的资格证明等进行审查，以确定供应商是否具备磋商资格。资格性检查资料表如下：</w:t>
      </w:r>
    </w:p>
    <w:tbl>
      <w:tblPr>
        <w:tblStyle w:val="58"/>
        <w:tblW w:w="9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1"/>
        <w:gridCol w:w="4421"/>
        <w:gridCol w:w="3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17" w:type="dxa"/>
            <w:noWrap/>
            <w:vAlign w:val="center"/>
          </w:tcPr>
          <w:p>
            <w:pPr>
              <w:snapToGrid w:val="0"/>
              <w:jc w:val="center"/>
              <w:rPr>
                <w:rFonts w:ascii="宋体" w:hAnsi="宋体" w:cs="宋体"/>
                <w:b/>
                <w:kern w:val="0"/>
                <w:sz w:val="21"/>
                <w:szCs w:val="21"/>
              </w:rPr>
            </w:pPr>
            <w:r>
              <w:rPr>
                <w:rFonts w:hint="eastAsia" w:ascii="宋体" w:hAnsi="宋体" w:cs="宋体"/>
                <w:b/>
                <w:kern w:val="0"/>
                <w:sz w:val="21"/>
                <w:szCs w:val="21"/>
              </w:rPr>
              <w:t>序号</w:t>
            </w:r>
          </w:p>
        </w:tc>
        <w:tc>
          <w:tcPr>
            <w:tcW w:w="5272" w:type="dxa"/>
            <w:gridSpan w:val="2"/>
            <w:noWrap/>
            <w:vAlign w:val="center"/>
          </w:tcPr>
          <w:p>
            <w:pPr>
              <w:snapToGrid w:val="0"/>
              <w:jc w:val="center"/>
              <w:rPr>
                <w:rFonts w:ascii="宋体" w:hAnsi="宋体" w:cs="宋体"/>
                <w:b/>
                <w:kern w:val="0"/>
                <w:sz w:val="21"/>
                <w:szCs w:val="21"/>
              </w:rPr>
            </w:pPr>
            <w:r>
              <w:rPr>
                <w:rFonts w:hint="eastAsia" w:ascii="宋体" w:hAnsi="宋体" w:cs="宋体"/>
                <w:b/>
                <w:kern w:val="0"/>
                <w:sz w:val="21"/>
                <w:szCs w:val="21"/>
              </w:rPr>
              <w:t>检查因素</w:t>
            </w:r>
          </w:p>
        </w:tc>
        <w:tc>
          <w:tcPr>
            <w:tcW w:w="3579" w:type="dxa"/>
            <w:noWrap/>
            <w:vAlign w:val="center"/>
          </w:tcPr>
          <w:p>
            <w:pPr>
              <w:snapToGrid w:val="0"/>
              <w:jc w:val="center"/>
              <w:rPr>
                <w:rFonts w:ascii="宋体" w:hAnsi="宋体" w:cs="宋体"/>
                <w:b/>
                <w:kern w:val="0"/>
                <w:sz w:val="21"/>
                <w:szCs w:val="21"/>
              </w:rPr>
            </w:pPr>
            <w:r>
              <w:rPr>
                <w:rFonts w:hint="eastAsia" w:ascii="宋体" w:hAnsi="宋体" w:cs="宋体"/>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817" w:type="dxa"/>
            <w:vMerge w:val="restart"/>
            <w:noWrap/>
            <w:vAlign w:val="center"/>
          </w:tcPr>
          <w:p>
            <w:pPr>
              <w:snapToGrid w:val="0"/>
              <w:jc w:val="center"/>
              <w:rPr>
                <w:rFonts w:ascii="宋体" w:hAnsi="宋体"/>
                <w:sz w:val="21"/>
                <w:szCs w:val="21"/>
              </w:rPr>
            </w:pPr>
            <w:r>
              <w:rPr>
                <w:rFonts w:hint="eastAsia" w:ascii="宋体" w:hAnsi="宋体"/>
                <w:sz w:val="21"/>
                <w:szCs w:val="21"/>
              </w:rPr>
              <w:t>（一）</w:t>
            </w:r>
          </w:p>
        </w:tc>
        <w:tc>
          <w:tcPr>
            <w:tcW w:w="851" w:type="dxa"/>
            <w:vMerge w:val="restart"/>
            <w:noWrap/>
            <w:vAlign w:val="center"/>
          </w:tcPr>
          <w:p>
            <w:pPr>
              <w:snapToGrid w:val="0"/>
              <w:rPr>
                <w:rFonts w:ascii="宋体" w:hAnsi="宋体" w:cs="仿宋_GB2312"/>
                <w:sz w:val="21"/>
                <w:szCs w:val="21"/>
                <w:lang w:val="zh-CN"/>
              </w:rPr>
            </w:pPr>
            <w:r>
              <w:rPr>
                <w:rFonts w:hint="eastAsia" w:ascii="宋体" w:hAnsi="宋体" w:cs="仿宋_GB2312"/>
                <w:sz w:val="21"/>
                <w:szCs w:val="21"/>
                <w:lang w:val="zh-CN"/>
              </w:rPr>
              <w:t>《中华人民共和国政府采购法》第二十二条规定</w:t>
            </w:r>
          </w:p>
        </w:tc>
        <w:tc>
          <w:tcPr>
            <w:tcW w:w="4421" w:type="dxa"/>
            <w:noWrap/>
            <w:vAlign w:val="center"/>
          </w:tcPr>
          <w:p>
            <w:pPr>
              <w:snapToGrid w:val="0"/>
              <w:rPr>
                <w:rFonts w:ascii="宋体" w:hAnsi="宋体"/>
                <w:sz w:val="21"/>
                <w:szCs w:val="21"/>
              </w:rPr>
            </w:pPr>
            <w:r>
              <w:rPr>
                <w:rFonts w:hint="eastAsia" w:ascii="宋体" w:hAnsi="宋体"/>
                <w:sz w:val="21"/>
                <w:szCs w:val="21"/>
              </w:rPr>
              <w:t>1.具有独立承担民事责任的能力</w:t>
            </w:r>
          </w:p>
        </w:tc>
        <w:tc>
          <w:tcPr>
            <w:tcW w:w="3579" w:type="dxa"/>
            <w:noWrap/>
            <w:vAlign w:val="center"/>
          </w:tcPr>
          <w:p>
            <w:pPr>
              <w:snapToGrid w:val="0"/>
              <w:rPr>
                <w:rFonts w:ascii="宋体" w:hAnsi="宋体"/>
                <w:sz w:val="21"/>
                <w:szCs w:val="21"/>
              </w:rPr>
            </w:pPr>
            <w:r>
              <w:rPr>
                <w:rFonts w:hint="eastAsia" w:ascii="宋体" w:hAnsi="宋体"/>
                <w:sz w:val="21"/>
                <w:szCs w:val="21"/>
              </w:rPr>
              <w:t>1.供应商法人营业执照（副本）或社会团体法人登记证书（副本）或民办非企业单位法人登记证书（副本）或事业单位法人证书（副本）或个体工商户营业执照或有效的自然人身份证明（提供复印件）（注①）；</w:t>
            </w:r>
          </w:p>
          <w:p>
            <w:pPr>
              <w:snapToGrid w:val="0"/>
              <w:rPr>
                <w:rFonts w:ascii="宋体" w:hAnsi="宋体"/>
                <w:sz w:val="21"/>
                <w:szCs w:val="21"/>
              </w:rPr>
            </w:pPr>
            <w:r>
              <w:rPr>
                <w:rFonts w:hint="eastAsia" w:ascii="宋体" w:hAnsi="宋体"/>
                <w:sz w:val="21"/>
                <w:szCs w:val="21"/>
              </w:rPr>
              <w:t>2.供应商法定代表人身份证明和法定代表人授权代表委托书。</w:t>
            </w:r>
          </w:p>
          <w:p>
            <w:pPr>
              <w:snapToGrid w:val="0"/>
              <w:rPr>
                <w:rFonts w:ascii="宋体" w:hAnsi="宋体"/>
                <w:sz w:val="21"/>
                <w:szCs w:val="21"/>
              </w:rPr>
            </w:pPr>
            <w:r>
              <w:rPr>
                <w:rFonts w:hint="eastAsia" w:ascii="宋体" w:hAnsi="宋体"/>
                <w:sz w:val="21"/>
                <w:szCs w:val="21"/>
              </w:rPr>
              <w:t>注：不具有独立法人的分公司、办事处等分支机构不能参加磋商。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817" w:type="dxa"/>
            <w:vMerge w:val="continue"/>
            <w:noWrap/>
            <w:vAlign w:val="center"/>
          </w:tcPr>
          <w:p>
            <w:pPr>
              <w:snapToGrid w:val="0"/>
              <w:jc w:val="center"/>
              <w:rPr>
                <w:rFonts w:ascii="宋体" w:hAnsi="宋体"/>
                <w:sz w:val="21"/>
                <w:szCs w:val="21"/>
              </w:rPr>
            </w:pPr>
          </w:p>
        </w:tc>
        <w:tc>
          <w:tcPr>
            <w:tcW w:w="851" w:type="dxa"/>
            <w:vMerge w:val="continue"/>
            <w:noWrap/>
            <w:vAlign w:val="center"/>
          </w:tcPr>
          <w:p>
            <w:pPr>
              <w:snapToGrid w:val="0"/>
              <w:rPr>
                <w:rFonts w:ascii="宋体" w:hAnsi="宋体" w:cs="仿宋_GB2312"/>
                <w:sz w:val="21"/>
                <w:szCs w:val="21"/>
                <w:lang w:val="zh-CN"/>
              </w:rPr>
            </w:pPr>
          </w:p>
        </w:tc>
        <w:tc>
          <w:tcPr>
            <w:tcW w:w="4421" w:type="dxa"/>
            <w:noWrap/>
            <w:vAlign w:val="center"/>
          </w:tcPr>
          <w:p>
            <w:pPr>
              <w:snapToGrid w:val="0"/>
              <w:rPr>
                <w:rFonts w:ascii="宋体" w:hAnsi="宋体"/>
                <w:sz w:val="21"/>
                <w:szCs w:val="21"/>
              </w:rPr>
            </w:pPr>
            <w:r>
              <w:rPr>
                <w:rFonts w:hint="eastAsia" w:ascii="宋体" w:hAnsi="宋体" w:cs="仿宋_GB2312"/>
                <w:sz w:val="21"/>
                <w:szCs w:val="21"/>
                <w:lang w:val="zh-CN"/>
              </w:rPr>
              <w:t>2.</w:t>
            </w:r>
            <w:r>
              <w:rPr>
                <w:rFonts w:hint="eastAsia" w:ascii="宋体" w:hAnsi="宋体"/>
                <w:sz w:val="21"/>
                <w:szCs w:val="21"/>
              </w:rPr>
              <w:t>具有良好的商业信誉和健全的财务会计制度</w:t>
            </w:r>
          </w:p>
        </w:tc>
        <w:tc>
          <w:tcPr>
            <w:tcW w:w="3579" w:type="dxa"/>
            <w:vMerge w:val="restart"/>
            <w:noWrap/>
            <w:vAlign w:val="center"/>
          </w:tcPr>
          <w:p>
            <w:pPr>
              <w:snapToGrid w:val="0"/>
              <w:rPr>
                <w:rFonts w:ascii="宋体" w:hAnsi="宋体"/>
                <w:color w:val="000000" w:themeColor="text1"/>
                <w:sz w:val="21"/>
                <w:szCs w:val="21"/>
              </w:rPr>
            </w:pPr>
          </w:p>
          <w:p>
            <w:pPr>
              <w:snapToGrid w:val="0"/>
              <w:rPr>
                <w:rFonts w:ascii="宋体" w:hAnsi="宋体"/>
                <w:color w:val="000000" w:themeColor="text1"/>
                <w:sz w:val="21"/>
                <w:szCs w:val="21"/>
              </w:rPr>
            </w:pPr>
            <w:r>
              <w:rPr>
                <w:rFonts w:hint="eastAsia" w:ascii="宋体" w:hAnsi="宋体"/>
                <w:color w:val="000000" w:themeColor="text1"/>
                <w:sz w:val="21"/>
                <w:szCs w:val="21"/>
              </w:rPr>
              <w:t>供应商</w:t>
            </w:r>
            <w:r>
              <w:rPr>
                <w:rFonts w:ascii="宋体" w:hAnsi="宋体"/>
                <w:color w:val="000000" w:themeColor="text1"/>
                <w:sz w:val="21"/>
                <w:szCs w:val="21"/>
              </w:rPr>
              <w:t>提供基本资格条件承诺函（格式附后）</w:t>
            </w:r>
          </w:p>
          <w:p>
            <w:pPr>
              <w:snapToGrid w:val="0"/>
              <w:rPr>
                <w:rFonts w:ascii="宋体" w:hAnsi="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817" w:type="dxa"/>
            <w:vMerge w:val="continue"/>
            <w:noWrap/>
            <w:vAlign w:val="center"/>
          </w:tcPr>
          <w:p>
            <w:pPr>
              <w:snapToGrid w:val="0"/>
              <w:jc w:val="center"/>
              <w:rPr>
                <w:rFonts w:ascii="宋体" w:hAnsi="宋体"/>
                <w:sz w:val="21"/>
                <w:szCs w:val="21"/>
              </w:rPr>
            </w:pPr>
          </w:p>
        </w:tc>
        <w:tc>
          <w:tcPr>
            <w:tcW w:w="851" w:type="dxa"/>
            <w:vMerge w:val="continue"/>
            <w:noWrap/>
            <w:vAlign w:val="center"/>
          </w:tcPr>
          <w:p>
            <w:pPr>
              <w:snapToGrid w:val="0"/>
              <w:rPr>
                <w:rFonts w:ascii="宋体" w:hAnsi="宋体" w:cs="仿宋_GB2312"/>
                <w:sz w:val="21"/>
                <w:szCs w:val="21"/>
                <w:lang w:val="zh-CN"/>
              </w:rPr>
            </w:pPr>
          </w:p>
        </w:tc>
        <w:tc>
          <w:tcPr>
            <w:tcW w:w="4421" w:type="dxa"/>
            <w:noWrap/>
            <w:vAlign w:val="center"/>
          </w:tcPr>
          <w:p>
            <w:pPr>
              <w:snapToGrid w:val="0"/>
              <w:rPr>
                <w:rFonts w:ascii="宋体" w:hAnsi="宋体" w:cs="仿宋_GB2312"/>
                <w:sz w:val="21"/>
                <w:szCs w:val="21"/>
                <w:lang w:val="zh-CN"/>
              </w:rPr>
            </w:pPr>
            <w:r>
              <w:rPr>
                <w:rFonts w:hint="eastAsia" w:ascii="宋体" w:hAnsi="宋体" w:cs="仿宋_GB2312"/>
                <w:sz w:val="21"/>
                <w:szCs w:val="21"/>
                <w:lang w:val="zh-CN"/>
              </w:rPr>
              <w:t>3.具有履行合同所必需的设备和专业技术能力</w:t>
            </w:r>
          </w:p>
        </w:tc>
        <w:tc>
          <w:tcPr>
            <w:tcW w:w="3579" w:type="dxa"/>
            <w:vMerge w:val="continue"/>
            <w:noWrap/>
            <w:vAlign w:val="center"/>
          </w:tcPr>
          <w:p>
            <w:pPr>
              <w:snapToGrid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Merge w:val="continue"/>
            <w:noWrap/>
            <w:vAlign w:val="center"/>
          </w:tcPr>
          <w:p>
            <w:pPr>
              <w:snapToGrid w:val="0"/>
              <w:jc w:val="center"/>
              <w:rPr>
                <w:rFonts w:ascii="宋体" w:hAnsi="宋体"/>
                <w:sz w:val="21"/>
                <w:szCs w:val="21"/>
              </w:rPr>
            </w:pPr>
          </w:p>
        </w:tc>
        <w:tc>
          <w:tcPr>
            <w:tcW w:w="851" w:type="dxa"/>
            <w:vMerge w:val="continue"/>
            <w:noWrap/>
            <w:vAlign w:val="center"/>
          </w:tcPr>
          <w:p>
            <w:pPr>
              <w:snapToGrid w:val="0"/>
              <w:rPr>
                <w:rFonts w:ascii="宋体" w:hAnsi="宋体" w:cs="仿宋_GB2312"/>
                <w:sz w:val="21"/>
                <w:szCs w:val="21"/>
                <w:lang w:val="zh-CN"/>
              </w:rPr>
            </w:pPr>
          </w:p>
        </w:tc>
        <w:tc>
          <w:tcPr>
            <w:tcW w:w="4421" w:type="dxa"/>
            <w:noWrap/>
            <w:vAlign w:val="center"/>
          </w:tcPr>
          <w:p>
            <w:pPr>
              <w:snapToGrid w:val="0"/>
              <w:rPr>
                <w:rFonts w:ascii="宋体" w:hAnsi="宋体" w:cs="仿宋_GB2312"/>
                <w:sz w:val="21"/>
                <w:szCs w:val="21"/>
                <w:lang w:val="zh-CN"/>
              </w:rPr>
            </w:pPr>
            <w:r>
              <w:rPr>
                <w:rFonts w:hint="eastAsia" w:ascii="宋体" w:hAnsi="宋体" w:cs="仿宋_GB2312"/>
                <w:sz w:val="21"/>
                <w:szCs w:val="21"/>
                <w:lang w:val="zh-CN"/>
              </w:rPr>
              <w:t>4.有依法缴纳税收和社会保障资金的良好记录</w:t>
            </w:r>
          </w:p>
        </w:tc>
        <w:tc>
          <w:tcPr>
            <w:tcW w:w="3579" w:type="dxa"/>
            <w:vMerge w:val="continue"/>
            <w:noWrap/>
            <w:vAlign w:val="center"/>
          </w:tcPr>
          <w:p>
            <w:pPr>
              <w:snapToGrid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8" w:hRule="atLeast"/>
        </w:trPr>
        <w:tc>
          <w:tcPr>
            <w:tcW w:w="817" w:type="dxa"/>
            <w:vMerge w:val="continue"/>
            <w:noWrap/>
            <w:vAlign w:val="center"/>
          </w:tcPr>
          <w:p>
            <w:pPr>
              <w:snapToGrid w:val="0"/>
              <w:jc w:val="center"/>
              <w:rPr>
                <w:rFonts w:ascii="宋体" w:hAnsi="宋体"/>
                <w:sz w:val="21"/>
                <w:szCs w:val="21"/>
              </w:rPr>
            </w:pPr>
          </w:p>
        </w:tc>
        <w:tc>
          <w:tcPr>
            <w:tcW w:w="851" w:type="dxa"/>
            <w:vMerge w:val="continue"/>
            <w:noWrap/>
            <w:vAlign w:val="center"/>
          </w:tcPr>
          <w:p>
            <w:pPr>
              <w:snapToGrid w:val="0"/>
              <w:rPr>
                <w:rFonts w:ascii="宋体" w:hAnsi="宋体" w:cs="仿宋_GB2312"/>
                <w:sz w:val="21"/>
                <w:szCs w:val="21"/>
                <w:lang w:val="zh-CN"/>
              </w:rPr>
            </w:pPr>
          </w:p>
        </w:tc>
        <w:tc>
          <w:tcPr>
            <w:tcW w:w="4421" w:type="dxa"/>
            <w:noWrap/>
            <w:vAlign w:val="center"/>
          </w:tcPr>
          <w:p>
            <w:pPr>
              <w:snapToGrid w:val="0"/>
              <w:rPr>
                <w:rFonts w:ascii="宋体" w:hAnsi="宋体" w:cs="仿宋_GB2312"/>
                <w:sz w:val="21"/>
                <w:szCs w:val="21"/>
                <w:lang w:val="zh-CN"/>
              </w:rPr>
            </w:pPr>
            <w:r>
              <w:rPr>
                <w:rFonts w:hint="eastAsia" w:ascii="宋体" w:hAnsi="宋体"/>
                <w:sz w:val="21"/>
                <w:szCs w:val="21"/>
              </w:rPr>
              <w:t>5.参加政府采购活动前三年内，在经营活动中没有重大违法记录（注</w:t>
            </w:r>
            <w:r>
              <w:rPr>
                <w:rFonts w:ascii="宋体" w:hAnsi="宋体"/>
                <w:sz w:val="21"/>
                <w:szCs w:val="21"/>
              </w:rPr>
              <w:fldChar w:fldCharType="begin"/>
            </w:r>
            <w:r>
              <w:rPr>
                <w:rFonts w:hint="eastAsia" w:ascii="宋体" w:hAnsi="宋体"/>
                <w:sz w:val="21"/>
                <w:szCs w:val="21"/>
              </w:rPr>
              <w:instrText xml:space="preserve">= 2 \* GB3</w:instrText>
            </w:r>
            <w:r>
              <w:rPr>
                <w:rFonts w:ascii="宋体" w:hAnsi="宋体"/>
                <w:sz w:val="21"/>
                <w:szCs w:val="21"/>
              </w:rPr>
              <w:fldChar w:fldCharType="separate"/>
            </w:r>
            <w:r>
              <w:rPr>
                <w:rFonts w:hint="eastAsia" w:ascii="宋体" w:hAnsi="宋体"/>
                <w:sz w:val="21"/>
                <w:szCs w:val="21"/>
              </w:rPr>
              <w:t>②</w:t>
            </w:r>
            <w:r>
              <w:rPr>
                <w:rFonts w:ascii="宋体" w:hAnsi="宋体"/>
                <w:sz w:val="21"/>
                <w:szCs w:val="21"/>
              </w:rPr>
              <w:fldChar w:fldCharType="end"/>
            </w:r>
            <w:r>
              <w:rPr>
                <w:rFonts w:hint="eastAsia" w:ascii="宋体" w:hAnsi="宋体"/>
                <w:sz w:val="21"/>
                <w:szCs w:val="21"/>
              </w:rPr>
              <w:t>）</w:t>
            </w:r>
          </w:p>
        </w:tc>
        <w:tc>
          <w:tcPr>
            <w:tcW w:w="3579" w:type="dxa"/>
            <w:noWrap/>
            <w:vAlign w:val="center"/>
          </w:tcPr>
          <w:p>
            <w:pPr>
              <w:snapToGrid w:val="0"/>
              <w:rPr>
                <w:rFonts w:ascii="宋体" w:hAnsi="宋体"/>
                <w:sz w:val="21"/>
                <w:szCs w:val="21"/>
              </w:rPr>
            </w:pPr>
            <w:r>
              <w:rPr>
                <w:rFonts w:hint="eastAsia" w:ascii="宋体" w:hAnsi="宋体"/>
                <w:sz w:val="21"/>
                <w:szCs w:val="21"/>
              </w:rPr>
              <w:t>1. 供应商</w:t>
            </w:r>
            <w:r>
              <w:rPr>
                <w:rFonts w:ascii="宋体" w:hAnsi="宋体"/>
                <w:sz w:val="21"/>
                <w:szCs w:val="21"/>
              </w:rPr>
              <w:t>提供基本资格条件承诺函（格式附后）</w:t>
            </w:r>
            <w:r>
              <w:rPr>
                <w:rFonts w:hint="eastAsia" w:ascii="宋体" w:hAnsi="宋体"/>
                <w:sz w:val="21"/>
                <w:szCs w:val="21"/>
              </w:rPr>
              <w:t>；</w:t>
            </w:r>
          </w:p>
          <w:p>
            <w:pPr>
              <w:wordWrap w:val="0"/>
              <w:snapToGrid w:val="0"/>
              <w:rPr>
                <w:rFonts w:ascii="宋体" w:hAnsi="宋体"/>
                <w:b/>
                <w:sz w:val="21"/>
                <w:szCs w:val="21"/>
              </w:rPr>
            </w:pPr>
            <w:r>
              <w:rPr>
                <w:rFonts w:hint="eastAsia" w:ascii="宋体" w:hAnsi="宋体"/>
                <w:sz w:val="21"/>
                <w:szCs w:val="21"/>
              </w:rPr>
              <w:t>2.采购人将通过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Merge w:val="continue"/>
            <w:noWrap/>
            <w:vAlign w:val="center"/>
          </w:tcPr>
          <w:p>
            <w:pPr>
              <w:snapToGrid w:val="0"/>
              <w:jc w:val="center"/>
              <w:rPr>
                <w:rFonts w:ascii="宋体" w:hAnsi="宋体"/>
                <w:sz w:val="21"/>
                <w:szCs w:val="21"/>
              </w:rPr>
            </w:pPr>
          </w:p>
        </w:tc>
        <w:tc>
          <w:tcPr>
            <w:tcW w:w="851" w:type="dxa"/>
            <w:vMerge w:val="continue"/>
            <w:noWrap/>
            <w:vAlign w:val="center"/>
          </w:tcPr>
          <w:p>
            <w:pPr>
              <w:snapToGrid w:val="0"/>
              <w:rPr>
                <w:rFonts w:ascii="宋体" w:hAnsi="宋体" w:cs="仿宋_GB2312"/>
                <w:sz w:val="21"/>
                <w:szCs w:val="21"/>
                <w:lang w:val="zh-CN"/>
              </w:rPr>
            </w:pPr>
          </w:p>
        </w:tc>
        <w:tc>
          <w:tcPr>
            <w:tcW w:w="4421" w:type="dxa"/>
            <w:noWrap/>
            <w:vAlign w:val="center"/>
          </w:tcPr>
          <w:p>
            <w:pPr>
              <w:snapToGrid w:val="0"/>
              <w:rPr>
                <w:rFonts w:ascii="宋体" w:hAnsi="宋体"/>
                <w:sz w:val="21"/>
                <w:szCs w:val="21"/>
              </w:rPr>
            </w:pPr>
            <w:r>
              <w:rPr>
                <w:rFonts w:hint="eastAsia" w:ascii="宋体" w:hAnsi="宋体"/>
                <w:sz w:val="21"/>
                <w:szCs w:val="21"/>
              </w:rPr>
              <w:t>6.法律、行政法规规定的其他条件</w:t>
            </w:r>
          </w:p>
        </w:tc>
        <w:tc>
          <w:tcPr>
            <w:tcW w:w="3579" w:type="dxa"/>
            <w:noWrap/>
            <w:vAlign w:val="center"/>
          </w:tcPr>
          <w:p>
            <w:pPr>
              <w:snapToGrid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noWrap/>
            <w:vAlign w:val="center"/>
          </w:tcPr>
          <w:p>
            <w:pPr>
              <w:snapToGrid w:val="0"/>
              <w:jc w:val="center"/>
              <w:rPr>
                <w:rFonts w:ascii="宋体" w:hAnsi="宋体"/>
                <w:sz w:val="21"/>
                <w:szCs w:val="21"/>
              </w:rPr>
            </w:pPr>
            <w:r>
              <w:rPr>
                <w:rFonts w:hint="eastAsia" w:ascii="宋体" w:hAnsi="宋体"/>
                <w:sz w:val="21"/>
                <w:szCs w:val="21"/>
              </w:rPr>
              <w:t>（二）</w:t>
            </w:r>
          </w:p>
        </w:tc>
        <w:tc>
          <w:tcPr>
            <w:tcW w:w="5272" w:type="dxa"/>
            <w:gridSpan w:val="2"/>
            <w:noWrap/>
            <w:vAlign w:val="center"/>
          </w:tcPr>
          <w:p>
            <w:pPr>
              <w:snapToGrid w:val="0"/>
              <w:rPr>
                <w:rFonts w:ascii="宋体" w:hAnsi="宋体"/>
                <w:sz w:val="21"/>
                <w:szCs w:val="21"/>
              </w:rPr>
            </w:pPr>
            <w:r>
              <w:rPr>
                <w:rFonts w:hint="eastAsia" w:ascii="宋体" w:hAnsi="宋体"/>
                <w:sz w:val="21"/>
                <w:szCs w:val="21"/>
              </w:rPr>
              <w:t>本项目的特定资格条件</w:t>
            </w:r>
          </w:p>
        </w:tc>
        <w:tc>
          <w:tcPr>
            <w:tcW w:w="3579" w:type="dxa"/>
            <w:noWrap/>
            <w:vAlign w:val="center"/>
          </w:tcPr>
          <w:p>
            <w:pPr>
              <w:adjustRightInd w:val="0"/>
              <w:snapToGrid w:val="0"/>
            </w:pPr>
            <w:r>
              <w:rPr>
                <w:rFonts w:hint="eastAsia" w:ascii="宋体" w:hAnsi="宋体" w:cs="宋体"/>
                <w:sz w:val="21"/>
                <w:szCs w:val="21"/>
              </w:rPr>
              <w:t>按第一篇“三、供应商资格条件（二）本项目的特定资格条件”的要求提交（如果有）。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noWrap/>
            <w:vAlign w:val="center"/>
          </w:tcPr>
          <w:p>
            <w:pPr>
              <w:snapToGrid w:val="0"/>
              <w:jc w:val="center"/>
              <w:rPr>
                <w:rFonts w:ascii="宋体" w:hAnsi="宋体"/>
                <w:sz w:val="21"/>
                <w:szCs w:val="21"/>
              </w:rPr>
            </w:pPr>
            <w:r>
              <w:rPr>
                <w:rFonts w:hint="eastAsia" w:ascii="宋体" w:hAnsi="宋体"/>
                <w:sz w:val="21"/>
                <w:szCs w:val="21"/>
              </w:rPr>
              <w:t>（三）</w:t>
            </w:r>
          </w:p>
        </w:tc>
        <w:tc>
          <w:tcPr>
            <w:tcW w:w="5272" w:type="dxa"/>
            <w:gridSpan w:val="2"/>
            <w:noWrap/>
            <w:vAlign w:val="center"/>
          </w:tcPr>
          <w:p>
            <w:pPr>
              <w:snapToGrid w:val="0"/>
              <w:rPr>
                <w:rFonts w:ascii="宋体" w:hAnsi="宋体"/>
                <w:sz w:val="21"/>
                <w:szCs w:val="21"/>
              </w:rPr>
            </w:pPr>
            <w:r>
              <w:rPr>
                <w:rFonts w:hint="eastAsia" w:ascii="宋体" w:hAnsi="宋体"/>
                <w:sz w:val="21"/>
                <w:szCs w:val="21"/>
              </w:rPr>
              <w:t>落实政府采购政策需满足的资格要求</w:t>
            </w:r>
          </w:p>
        </w:tc>
        <w:tc>
          <w:tcPr>
            <w:tcW w:w="3579" w:type="dxa"/>
            <w:noWrap/>
            <w:vAlign w:val="center"/>
          </w:tcPr>
          <w:p>
            <w:pPr>
              <w:adjustRightInd w:val="0"/>
              <w:snapToGrid w:val="0"/>
            </w:pPr>
            <w:r>
              <w:rPr>
                <w:rFonts w:hint="eastAsia" w:ascii="宋体" w:hAnsi="宋体" w:cs="宋体"/>
                <w:sz w:val="21"/>
                <w:szCs w:val="21"/>
              </w:rPr>
              <w:t>按第一篇“三、供应商资格条件（三）落实政府采购政策需满足的资格要求”的要求提交（如果有）。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trPr>
        <w:tc>
          <w:tcPr>
            <w:tcW w:w="817" w:type="dxa"/>
            <w:noWrap/>
            <w:vAlign w:val="center"/>
          </w:tcPr>
          <w:p>
            <w:pPr>
              <w:snapToGrid w:val="0"/>
              <w:jc w:val="center"/>
              <w:rPr>
                <w:rFonts w:ascii="宋体" w:hAnsi="宋体"/>
                <w:sz w:val="21"/>
                <w:szCs w:val="21"/>
              </w:rPr>
            </w:pPr>
            <w:r>
              <w:rPr>
                <w:rFonts w:hint="eastAsia" w:ascii="宋体" w:hAnsi="宋体"/>
                <w:sz w:val="21"/>
                <w:szCs w:val="21"/>
              </w:rPr>
              <w:t>（四）</w:t>
            </w:r>
          </w:p>
        </w:tc>
        <w:tc>
          <w:tcPr>
            <w:tcW w:w="5272" w:type="dxa"/>
            <w:gridSpan w:val="2"/>
            <w:noWrap/>
            <w:vAlign w:val="center"/>
          </w:tcPr>
          <w:p>
            <w:pPr>
              <w:snapToGrid w:val="0"/>
              <w:rPr>
                <w:rFonts w:ascii="宋体" w:hAnsi="宋体"/>
                <w:sz w:val="21"/>
                <w:szCs w:val="21"/>
              </w:rPr>
            </w:pPr>
            <w:r>
              <w:rPr>
                <w:rFonts w:hint="eastAsia" w:ascii="宋体" w:hAnsi="宋体"/>
                <w:sz w:val="21"/>
                <w:szCs w:val="21"/>
              </w:rPr>
              <w:t>磋商保证金</w:t>
            </w:r>
          </w:p>
        </w:tc>
        <w:tc>
          <w:tcPr>
            <w:tcW w:w="3579" w:type="dxa"/>
            <w:noWrap/>
            <w:vAlign w:val="center"/>
          </w:tcPr>
          <w:p>
            <w:pPr>
              <w:adjustRightInd w:val="0"/>
              <w:snapToGrid w:val="0"/>
              <w:rPr>
                <w:rFonts w:ascii="宋体" w:hAnsi="宋体" w:cs="宋体"/>
                <w:sz w:val="21"/>
                <w:szCs w:val="21"/>
              </w:rPr>
            </w:pPr>
            <w:r>
              <w:rPr>
                <w:rFonts w:hint="eastAsia" w:ascii="宋体" w:hAnsi="宋体" w:cs="宋体"/>
                <w:sz w:val="21"/>
                <w:szCs w:val="21"/>
              </w:rPr>
              <w:t>免收保证金。</w:t>
            </w:r>
          </w:p>
        </w:tc>
      </w:tr>
    </w:tbl>
    <w:p>
      <w:pPr>
        <w:snapToGrid w:val="0"/>
        <w:spacing w:line="360" w:lineRule="auto"/>
        <w:ind w:firstLine="480" w:firstLineChars="200"/>
        <w:rPr>
          <w:rFonts w:ascii="宋体" w:hAnsi="宋体" w:cs="宋体"/>
          <w:bCs/>
          <w:color w:val="000000"/>
          <w:kern w:val="0"/>
          <w:sz w:val="24"/>
          <w:szCs w:val="24"/>
        </w:rPr>
      </w:pPr>
      <w:r>
        <w:rPr>
          <w:rFonts w:hint="eastAsia" w:ascii="宋体" w:hAnsi="宋体" w:cs="宋体"/>
          <w:kern w:val="0"/>
          <w:sz w:val="24"/>
          <w:szCs w:val="24"/>
        </w:rPr>
        <w:t>注：</w:t>
      </w:r>
      <w:r>
        <w:rPr>
          <w:rFonts w:hint="eastAsia" w:ascii="宋体" w:hAnsi="宋体" w:cs="宋体"/>
          <w:bCs/>
          <w:color w:val="000000"/>
          <w:kern w:val="0"/>
          <w:sz w:val="24"/>
          <w:szCs w:val="24"/>
        </w:rPr>
        <w:t>供应商应对其承诺内容的真实性、合法性、有效性负责。经调查核实为虚假承诺的，视同为“提供虚假材料谋取中标、成交”的违法行为，依照《中华人民共和国政府采购法》等法律法规追究相应责任。</w:t>
      </w:r>
    </w:p>
    <w:p>
      <w:pPr>
        <w:snapToGrid w:val="0"/>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以《财政部关于&lt;中华人民共和国政府采购法实施条例&gt;第十九条第一款“较大数额罚款”具体适用问题的意见》（财库〔2022〕3号）规定为准。</w:t>
      </w:r>
    </w:p>
    <w:p>
      <w:pPr>
        <w:snapToGrid w:val="0"/>
        <w:spacing w:line="360" w:lineRule="auto"/>
        <w:ind w:firstLine="480" w:firstLineChars="200"/>
        <w:rPr>
          <w:rFonts w:ascii="宋体" w:hAnsi="宋体"/>
          <w:kern w:val="0"/>
          <w:sz w:val="24"/>
          <w:szCs w:val="24"/>
        </w:rPr>
      </w:pPr>
      <w:r>
        <w:rPr>
          <w:rFonts w:hint="eastAsia" w:ascii="宋体" w:hAnsi="宋体"/>
          <w:sz w:val="24"/>
          <w:szCs w:val="24"/>
        </w:rPr>
        <w:t>2.</w:t>
      </w:r>
      <w:r>
        <w:rPr>
          <w:rFonts w:hint="eastAsia" w:ascii="宋体" w:hAnsi="宋体" w:cs="宋体"/>
          <w:kern w:val="0"/>
          <w:sz w:val="24"/>
          <w:szCs w:val="24"/>
        </w:rPr>
        <w:t>符合性检查。依据竞争性磋商文件的规定，从响应文件的有效性、完整性和对竞争性磋商文件的响应程度进行审查，以确定是否对竞争性磋商文件的实质性要求作出响应。</w:t>
      </w:r>
      <w:r>
        <w:rPr>
          <w:rFonts w:hint="eastAsia" w:ascii="宋体" w:hAnsi="宋体"/>
          <w:kern w:val="0"/>
          <w:sz w:val="24"/>
          <w:szCs w:val="24"/>
        </w:rPr>
        <w:t>符合性检查资料表如下：</w:t>
      </w:r>
    </w:p>
    <w:tbl>
      <w:tblPr>
        <w:tblStyle w:val="5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18"/>
        <w:gridCol w:w="2151"/>
        <w:gridCol w:w="5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75" w:type="dxa"/>
            <w:noWrap/>
            <w:vAlign w:val="center"/>
          </w:tcPr>
          <w:p>
            <w:pPr>
              <w:snapToGrid w:val="0"/>
              <w:jc w:val="center"/>
              <w:rPr>
                <w:rFonts w:ascii="宋体" w:hAnsi="宋体" w:cs="宋体"/>
                <w:b/>
                <w:kern w:val="0"/>
                <w:sz w:val="21"/>
                <w:szCs w:val="21"/>
              </w:rPr>
            </w:pPr>
            <w:r>
              <w:rPr>
                <w:rFonts w:hint="eastAsia" w:ascii="宋体" w:hAnsi="宋体" w:cs="宋体"/>
                <w:b/>
                <w:kern w:val="0"/>
                <w:sz w:val="21"/>
                <w:szCs w:val="21"/>
              </w:rPr>
              <w:t>序号</w:t>
            </w:r>
          </w:p>
        </w:tc>
        <w:tc>
          <w:tcPr>
            <w:tcW w:w="3569" w:type="dxa"/>
            <w:gridSpan w:val="2"/>
            <w:noWrap/>
            <w:vAlign w:val="center"/>
          </w:tcPr>
          <w:p>
            <w:pPr>
              <w:snapToGrid w:val="0"/>
              <w:jc w:val="center"/>
              <w:rPr>
                <w:rFonts w:ascii="宋体" w:hAnsi="宋体" w:cs="宋体"/>
                <w:b/>
                <w:kern w:val="0"/>
                <w:sz w:val="21"/>
                <w:szCs w:val="21"/>
              </w:rPr>
            </w:pPr>
            <w:r>
              <w:rPr>
                <w:rFonts w:hint="eastAsia" w:ascii="宋体" w:hAnsi="宋体" w:cs="宋体"/>
                <w:b/>
                <w:kern w:val="0"/>
                <w:sz w:val="21"/>
                <w:szCs w:val="21"/>
              </w:rPr>
              <w:t>评审因素</w:t>
            </w:r>
          </w:p>
        </w:tc>
        <w:tc>
          <w:tcPr>
            <w:tcW w:w="5220" w:type="dxa"/>
            <w:noWrap/>
            <w:vAlign w:val="center"/>
          </w:tcPr>
          <w:p>
            <w:pPr>
              <w:snapToGrid w:val="0"/>
              <w:jc w:val="center"/>
              <w:rPr>
                <w:rFonts w:ascii="宋体" w:hAnsi="宋体" w:cs="宋体"/>
                <w:b/>
                <w:kern w:val="0"/>
                <w:sz w:val="21"/>
                <w:szCs w:val="21"/>
              </w:rPr>
            </w:pPr>
            <w:r>
              <w:rPr>
                <w:rFonts w:hint="eastAsia" w:ascii="宋体" w:hAnsi="宋体" w:cs="宋体"/>
                <w:b/>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75" w:type="dxa"/>
            <w:vMerge w:val="restart"/>
            <w:noWrap/>
            <w:vAlign w:val="center"/>
          </w:tcPr>
          <w:p>
            <w:pPr>
              <w:snapToGrid w:val="0"/>
              <w:jc w:val="center"/>
              <w:rPr>
                <w:rFonts w:ascii="宋体" w:hAnsi="宋体" w:cs="宋体"/>
                <w:kern w:val="0"/>
                <w:sz w:val="21"/>
                <w:szCs w:val="21"/>
              </w:rPr>
            </w:pPr>
            <w:r>
              <w:rPr>
                <w:rFonts w:hint="eastAsia" w:ascii="宋体" w:hAnsi="宋体" w:cs="宋体"/>
                <w:kern w:val="0"/>
                <w:sz w:val="21"/>
                <w:szCs w:val="21"/>
              </w:rPr>
              <w:t>1</w:t>
            </w:r>
          </w:p>
        </w:tc>
        <w:tc>
          <w:tcPr>
            <w:tcW w:w="1418" w:type="dxa"/>
            <w:vMerge w:val="restart"/>
            <w:noWrap/>
            <w:vAlign w:val="center"/>
          </w:tcPr>
          <w:p>
            <w:pPr>
              <w:snapToGrid w:val="0"/>
              <w:rPr>
                <w:rFonts w:ascii="宋体" w:hAnsi="宋体" w:cs="宋体"/>
                <w:kern w:val="0"/>
                <w:sz w:val="21"/>
                <w:szCs w:val="21"/>
              </w:rPr>
            </w:pPr>
            <w:r>
              <w:rPr>
                <w:rFonts w:hint="eastAsia" w:ascii="宋体" w:hAnsi="宋体" w:cs="宋体"/>
                <w:kern w:val="0"/>
                <w:sz w:val="21"/>
                <w:szCs w:val="21"/>
              </w:rPr>
              <w:t>有效性审查</w:t>
            </w:r>
          </w:p>
        </w:tc>
        <w:tc>
          <w:tcPr>
            <w:tcW w:w="2151" w:type="dxa"/>
            <w:noWrap/>
            <w:vAlign w:val="center"/>
          </w:tcPr>
          <w:p>
            <w:pPr>
              <w:snapToGrid w:val="0"/>
              <w:rPr>
                <w:rFonts w:ascii="宋体" w:hAnsi="宋体" w:cs="宋体"/>
                <w:kern w:val="0"/>
                <w:sz w:val="21"/>
                <w:szCs w:val="21"/>
              </w:rPr>
            </w:pPr>
            <w:r>
              <w:rPr>
                <w:rFonts w:hint="eastAsia" w:ascii="宋体" w:hAnsi="宋体"/>
                <w:sz w:val="21"/>
                <w:szCs w:val="21"/>
              </w:rPr>
              <w:t>响应文件签字和盖章</w:t>
            </w:r>
          </w:p>
        </w:tc>
        <w:tc>
          <w:tcPr>
            <w:tcW w:w="5220" w:type="dxa"/>
            <w:noWrap/>
            <w:vAlign w:val="center"/>
          </w:tcPr>
          <w:p>
            <w:pPr>
              <w:snapToGrid w:val="0"/>
              <w:rPr>
                <w:rFonts w:ascii="宋体" w:hAnsi="宋体" w:cs="宋体"/>
                <w:kern w:val="0"/>
                <w:sz w:val="21"/>
                <w:szCs w:val="21"/>
              </w:rPr>
            </w:pPr>
            <w:r>
              <w:rPr>
                <w:rFonts w:hint="eastAsia" w:ascii="宋体" w:hAnsi="宋体"/>
                <w:sz w:val="21"/>
                <w:szCs w:val="21"/>
              </w:rPr>
              <w:t>响应文件上的签字和盖章满足竞争性磋商文件要求。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675" w:type="dxa"/>
            <w:vMerge w:val="continue"/>
            <w:noWrap/>
            <w:vAlign w:val="center"/>
          </w:tcPr>
          <w:p>
            <w:pPr>
              <w:snapToGrid w:val="0"/>
              <w:jc w:val="center"/>
              <w:rPr>
                <w:rFonts w:ascii="宋体" w:hAnsi="宋体" w:cs="宋体"/>
                <w:kern w:val="0"/>
                <w:sz w:val="21"/>
                <w:szCs w:val="21"/>
              </w:rPr>
            </w:pPr>
          </w:p>
        </w:tc>
        <w:tc>
          <w:tcPr>
            <w:tcW w:w="1418" w:type="dxa"/>
            <w:vMerge w:val="continue"/>
            <w:noWrap/>
            <w:vAlign w:val="center"/>
          </w:tcPr>
          <w:p>
            <w:pPr>
              <w:snapToGrid w:val="0"/>
              <w:rPr>
                <w:rFonts w:ascii="宋体" w:hAnsi="宋体" w:cs="宋体"/>
                <w:kern w:val="0"/>
                <w:sz w:val="21"/>
                <w:szCs w:val="21"/>
              </w:rPr>
            </w:pPr>
          </w:p>
        </w:tc>
        <w:tc>
          <w:tcPr>
            <w:tcW w:w="2151" w:type="dxa"/>
            <w:noWrap/>
            <w:vAlign w:val="center"/>
          </w:tcPr>
          <w:p>
            <w:pPr>
              <w:snapToGrid w:val="0"/>
              <w:rPr>
                <w:rFonts w:ascii="宋体" w:hAnsi="宋体" w:cs="仿宋_GB2312"/>
                <w:sz w:val="21"/>
                <w:szCs w:val="21"/>
                <w:lang w:val="zh-CN"/>
              </w:rPr>
            </w:pPr>
            <w:r>
              <w:rPr>
                <w:rFonts w:hint="eastAsia" w:ascii="宋体" w:hAnsi="宋体" w:cs="仿宋_GB2312"/>
                <w:sz w:val="21"/>
                <w:szCs w:val="21"/>
                <w:lang w:val="zh-CN"/>
              </w:rPr>
              <w:t>磋商方案</w:t>
            </w:r>
          </w:p>
        </w:tc>
        <w:tc>
          <w:tcPr>
            <w:tcW w:w="5220" w:type="dxa"/>
            <w:noWrap/>
            <w:vAlign w:val="center"/>
          </w:tcPr>
          <w:p>
            <w:pPr>
              <w:snapToGrid w:val="0"/>
              <w:rPr>
                <w:rFonts w:ascii="宋体" w:hAnsi="宋体" w:cs="宋体"/>
                <w:kern w:val="0"/>
                <w:sz w:val="21"/>
                <w:szCs w:val="21"/>
              </w:rPr>
            </w:pPr>
            <w:r>
              <w:rPr>
                <w:rFonts w:hint="eastAsia" w:ascii="宋体" w:hAnsi="宋体" w:cs="仿宋_GB2312"/>
                <w:sz w:val="21"/>
                <w:szCs w:val="21"/>
                <w:lang w:val="zh-CN"/>
              </w:rPr>
              <w:t>只能有一个方案参与磋商。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75" w:type="dxa"/>
            <w:vMerge w:val="continue"/>
            <w:noWrap/>
            <w:vAlign w:val="center"/>
          </w:tcPr>
          <w:p>
            <w:pPr>
              <w:snapToGrid w:val="0"/>
              <w:jc w:val="center"/>
              <w:rPr>
                <w:rFonts w:ascii="宋体" w:hAnsi="宋体" w:cs="宋体"/>
                <w:kern w:val="0"/>
                <w:sz w:val="21"/>
                <w:szCs w:val="21"/>
              </w:rPr>
            </w:pPr>
          </w:p>
        </w:tc>
        <w:tc>
          <w:tcPr>
            <w:tcW w:w="1418" w:type="dxa"/>
            <w:vMerge w:val="continue"/>
            <w:noWrap/>
            <w:vAlign w:val="center"/>
          </w:tcPr>
          <w:p>
            <w:pPr>
              <w:snapToGrid w:val="0"/>
              <w:rPr>
                <w:rFonts w:ascii="宋体" w:hAnsi="宋体" w:cs="宋体"/>
                <w:kern w:val="0"/>
                <w:sz w:val="21"/>
                <w:szCs w:val="21"/>
              </w:rPr>
            </w:pPr>
          </w:p>
        </w:tc>
        <w:tc>
          <w:tcPr>
            <w:tcW w:w="2151" w:type="dxa"/>
            <w:noWrap/>
            <w:vAlign w:val="center"/>
          </w:tcPr>
          <w:p>
            <w:pPr>
              <w:snapToGrid w:val="0"/>
              <w:rPr>
                <w:rFonts w:ascii="宋体" w:hAnsi="宋体" w:cs="仿宋_GB2312"/>
                <w:sz w:val="21"/>
                <w:szCs w:val="21"/>
                <w:lang w:val="zh-CN"/>
              </w:rPr>
            </w:pPr>
            <w:r>
              <w:rPr>
                <w:rFonts w:hint="eastAsia" w:ascii="宋体" w:hAnsi="宋体"/>
                <w:sz w:val="21"/>
                <w:szCs w:val="21"/>
              </w:rPr>
              <w:t>报价唯一</w:t>
            </w:r>
          </w:p>
        </w:tc>
        <w:tc>
          <w:tcPr>
            <w:tcW w:w="5220" w:type="dxa"/>
            <w:noWrap/>
            <w:vAlign w:val="center"/>
          </w:tcPr>
          <w:p>
            <w:pPr>
              <w:snapToGrid w:val="0"/>
              <w:rPr>
                <w:rFonts w:ascii="宋体" w:hAnsi="宋体" w:cs="宋体"/>
                <w:kern w:val="0"/>
                <w:sz w:val="21"/>
                <w:szCs w:val="21"/>
              </w:rPr>
            </w:pPr>
            <w:r>
              <w:rPr>
                <w:rFonts w:hint="eastAsia" w:ascii="宋体" w:hAnsi="宋体" w:cs="仿宋_GB2312"/>
                <w:sz w:val="21"/>
                <w:szCs w:val="21"/>
                <w:lang w:val="zh-CN"/>
              </w:rPr>
              <w:t>只能在采购预算范围内报价，</w:t>
            </w:r>
            <w:r>
              <w:rPr>
                <w:rFonts w:hint="eastAsia" w:ascii="宋体" w:hAnsi="宋体"/>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75" w:type="dxa"/>
            <w:noWrap/>
            <w:vAlign w:val="center"/>
          </w:tcPr>
          <w:p>
            <w:pPr>
              <w:snapToGrid w:val="0"/>
              <w:jc w:val="center"/>
              <w:rPr>
                <w:rFonts w:ascii="宋体" w:hAnsi="宋体" w:cs="宋体"/>
                <w:kern w:val="0"/>
                <w:sz w:val="21"/>
                <w:szCs w:val="21"/>
              </w:rPr>
            </w:pPr>
            <w:r>
              <w:rPr>
                <w:rFonts w:hint="eastAsia" w:ascii="宋体" w:hAnsi="宋体" w:cs="宋体"/>
                <w:kern w:val="0"/>
                <w:sz w:val="21"/>
                <w:szCs w:val="21"/>
              </w:rPr>
              <w:t>2</w:t>
            </w:r>
          </w:p>
        </w:tc>
        <w:tc>
          <w:tcPr>
            <w:tcW w:w="1418" w:type="dxa"/>
            <w:noWrap/>
            <w:vAlign w:val="center"/>
          </w:tcPr>
          <w:p>
            <w:pPr>
              <w:snapToGrid w:val="0"/>
              <w:rPr>
                <w:rFonts w:ascii="宋体" w:hAnsi="宋体" w:cs="宋体"/>
                <w:kern w:val="0"/>
                <w:sz w:val="21"/>
                <w:szCs w:val="21"/>
              </w:rPr>
            </w:pPr>
            <w:r>
              <w:rPr>
                <w:rFonts w:hint="eastAsia" w:ascii="宋体" w:hAnsi="宋体" w:cs="宋体"/>
                <w:kern w:val="0"/>
                <w:sz w:val="21"/>
                <w:szCs w:val="21"/>
              </w:rPr>
              <w:t>完整性审查</w:t>
            </w:r>
          </w:p>
        </w:tc>
        <w:tc>
          <w:tcPr>
            <w:tcW w:w="2151" w:type="dxa"/>
            <w:noWrap/>
            <w:vAlign w:val="center"/>
          </w:tcPr>
          <w:p>
            <w:pPr>
              <w:snapToGrid w:val="0"/>
              <w:rPr>
                <w:rFonts w:ascii="宋体" w:hAnsi="宋体" w:cs="宋体"/>
                <w:kern w:val="0"/>
                <w:sz w:val="21"/>
                <w:szCs w:val="21"/>
              </w:rPr>
            </w:pPr>
            <w:r>
              <w:rPr>
                <w:rFonts w:hint="eastAsia" w:ascii="宋体" w:hAnsi="宋体" w:cs="仿宋_GB2312"/>
                <w:sz w:val="21"/>
                <w:szCs w:val="21"/>
                <w:lang w:val="zh-CN"/>
              </w:rPr>
              <w:t>响应文件份数</w:t>
            </w:r>
          </w:p>
        </w:tc>
        <w:tc>
          <w:tcPr>
            <w:tcW w:w="5220" w:type="dxa"/>
            <w:noWrap/>
            <w:vAlign w:val="center"/>
          </w:tcPr>
          <w:p>
            <w:pPr>
              <w:snapToGrid w:val="0"/>
              <w:rPr>
                <w:rFonts w:ascii="宋体" w:hAnsi="宋体" w:cs="宋体"/>
                <w:kern w:val="0"/>
                <w:sz w:val="21"/>
                <w:szCs w:val="21"/>
              </w:rPr>
            </w:pPr>
            <w:r>
              <w:rPr>
                <w:rFonts w:hint="eastAsia" w:ascii="宋体" w:hAnsi="宋体" w:cs="仿宋_GB2312"/>
                <w:sz w:val="21"/>
                <w:szCs w:val="21"/>
                <w:lang w:val="zh-CN"/>
              </w:rPr>
              <w:t>响应文件正、副本、电子文档数量符合竞争性磋商文件要求。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75" w:type="dxa"/>
            <w:vMerge w:val="restart"/>
            <w:noWrap/>
            <w:vAlign w:val="center"/>
          </w:tcPr>
          <w:p>
            <w:pPr>
              <w:snapToGrid w:val="0"/>
              <w:jc w:val="center"/>
              <w:rPr>
                <w:rFonts w:ascii="宋体" w:hAnsi="宋体" w:cs="宋体"/>
                <w:kern w:val="0"/>
                <w:sz w:val="21"/>
                <w:szCs w:val="21"/>
              </w:rPr>
            </w:pPr>
            <w:r>
              <w:rPr>
                <w:rFonts w:hint="eastAsia" w:ascii="宋体" w:hAnsi="宋体" w:cs="宋体"/>
                <w:kern w:val="0"/>
                <w:sz w:val="21"/>
                <w:szCs w:val="21"/>
              </w:rPr>
              <w:t>3</w:t>
            </w:r>
          </w:p>
        </w:tc>
        <w:tc>
          <w:tcPr>
            <w:tcW w:w="1418" w:type="dxa"/>
            <w:vMerge w:val="restart"/>
            <w:noWrap/>
            <w:vAlign w:val="center"/>
          </w:tcPr>
          <w:p>
            <w:pPr>
              <w:snapToGrid w:val="0"/>
              <w:rPr>
                <w:rFonts w:ascii="宋体" w:hAnsi="宋体" w:cs="仿宋_GB2312"/>
                <w:sz w:val="21"/>
                <w:szCs w:val="21"/>
                <w:lang w:val="zh-CN"/>
              </w:rPr>
            </w:pPr>
            <w:r>
              <w:rPr>
                <w:rFonts w:hint="eastAsia" w:ascii="宋体" w:hAnsi="宋体" w:cs="宋体"/>
                <w:kern w:val="0"/>
                <w:sz w:val="21"/>
                <w:szCs w:val="21"/>
              </w:rPr>
              <w:t>竞争性磋商文件的响应程度审查</w:t>
            </w:r>
          </w:p>
        </w:tc>
        <w:tc>
          <w:tcPr>
            <w:tcW w:w="2151" w:type="dxa"/>
            <w:noWrap/>
            <w:vAlign w:val="center"/>
          </w:tcPr>
          <w:p>
            <w:pPr>
              <w:snapToGrid w:val="0"/>
              <w:rPr>
                <w:rFonts w:ascii="宋体" w:hAnsi="宋体" w:cs="宋体"/>
                <w:kern w:val="0"/>
                <w:sz w:val="21"/>
                <w:szCs w:val="21"/>
              </w:rPr>
            </w:pPr>
            <w:r>
              <w:rPr>
                <w:rFonts w:hint="eastAsia" w:ascii="宋体" w:hAnsi="宋体" w:cs="宋体"/>
                <w:kern w:val="0"/>
                <w:sz w:val="21"/>
                <w:szCs w:val="21"/>
              </w:rPr>
              <w:t>响应文件内容</w:t>
            </w:r>
          </w:p>
        </w:tc>
        <w:tc>
          <w:tcPr>
            <w:tcW w:w="5220" w:type="dxa"/>
            <w:noWrap/>
            <w:vAlign w:val="center"/>
          </w:tcPr>
          <w:p>
            <w:pPr>
              <w:pStyle w:val="33"/>
              <w:snapToGrid w:val="0"/>
              <w:rPr>
                <w:rFonts w:ascii="宋体" w:hAnsi="宋体" w:cs="宋体"/>
                <w:kern w:val="0"/>
                <w:sz w:val="21"/>
                <w:szCs w:val="21"/>
              </w:rPr>
            </w:pPr>
            <w:r>
              <w:rPr>
                <w:rFonts w:hint="eastAsia" w:ascii="宋体" w:hAnsi="宋体" w:cs="仿宋_GB2312"/>
                <w:sz w:val="21"/>
                <w:szCs w:val="21"/>
                <w:lang w:val="zh-CN"/>
              </w:rPr>
              <w:t>满足本竞争性磋商文件第二篇、第三篇中（※）号标注部分的要求。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5" w:type="dxa"/>
            <w:vMerge w:val="continue"/>
            <w:noWrap/>
            <w:vAlign w:val="center"/>
          </w:tcPr>
          <w:p>
            <w:pPr>
              <w:snapToGrid w:val="0"/>
              <w:jc w:val="center"/>
              <w:rPr>
                <w:rFonts w:ascii="宋体" w:hAnsi="宋体" w:cs="宋体"/>
                <w:kern w:val="0"/>
                <w:sz w:val="21"/>
                <w:szCs w:val="21"/>
              </w:rPr>
            </w:pPr>
          </w:p>
        </w:tc>
        <w:tc>
          <w:tcPr>
            <w:tcW w:w="1418" w:type="dxa"/>
            <w:vMerge w:val="continue"/>
            <w:noWrap/>
            <w:vAlign w:val="center"/>
          </w:tcPr>
          <w:p>
            <w:pPr>
              <w:snapToGrid w:val="0"/>
              <w:rPr>
                <w:rFonts w:ascii="宋体" w:hAnsi="宋体" w:cs="仿宋_GB2312"/>
                <w:sz w:val="21"/>
                <w:szCs w:val="21"/>
                <w:lang w:val="zh-CN"/>
              </w:rPr>
            </w:pPr>
          </w:p>
        </w:tc>
        <w:tc>
          <w:tcPr>
            <w:tcW w:w="2151" w:type="dxa"/>
            <w:noWrap/>
            <w:vAlign w:val="center"/>
          </w:tcPr>
          <w:p>
            <w:pPr>
              <w:snapToGrid w:val="0"/>
              <w:rPr>
                <w:rFonts w:ascii="宋体" w:hAnsi="宋体" w:cs="宋体"/>
                <w:kern w:val="0"/>
                <w:sz w:val="21"/>
                <w:szCs w:val="21"/>
              </w:rPr>
            </w:pPr>
            <w:r>
              <w:rPr>
                <w:rFonts w:hint="eastAsia" w:ascii="宋体" w:hAnsi="宋体" w:cs="宋体"/>
                <w:kern w:val="0"/>
                <w:sz w:val="21"/>
                <w:szCs w:val="21"/>
              </w:rPr>
              <w:t>磋商有效期</w:t>
            </w:r>
          </w:p>
        </w:tc>
        <w:tc>
          <w:tcPr>
            <w:tcW w:w="5220" w:type="dxa"/>
            <w:noWrap/>
            <w:vAlign w:val="center"/>
          </w:tcPr>
          <w:p>
            <w:pPr>
              <w:snapToGrid w:val="0"/>
              <w:rPr>
                <w:rFonts w:ascii="宋体" w:hAnsi="宋体" w:cs="宋体"/>
                <w:kern w:val="0"/>
                <w:sz w:val="21"/>
                <w:szCs w:val="21"/>
              </w:rPr>
            </w:pPr>
            <w:r>
              <w:rPr>
                <w:rFonts w:hint="eastAsia" w:ascii="宋体" w:hAnsi="宋体" w:cs="宋体"/>
                <w:kern w:val="0"/>
                <w:sz w:val="21"/>
                <w:szCs w:val="21"/>
              </w:rPr>
              <w:t>满足竞争性磋商文件</w:t>
            </w:r>
            <w:r>
              <w:rPr>
                <w:rFonts w:hint="eastAsia" w:ascii="宋体" w:hAnsi="宋体" w:cs="仿宋_GB2312"/>
                <w:sz w:val="21"/>
                <w:szCs w:val="21"/>
                <w:lang w:val="zh-CN"/>
              </w:rPr>
              <w:t>规定。</w:t>
            </w:r>
          </w:p>
        </w:tc>
      </w:tr>
    </w:tbl>
    <w:p>
      <w:pPr>
        <w:spacing w:line="360" w:lineRule="auto"/>
        <w:ind w:firstLine="480" w:firstLineChars="200"/>
        <w:rPr>
          <w:rFonts w:ascii="宋体" w:hAnsi="宋体"/>
          <w:sz w:val="24"/>
          <w:szCs w:val="24"/>
        </w:rPr>
      </w:pPr>
      <w:r>
        <w:rPr>
          <w:rFonts w:hint="eastAsia" w:ascii="宋体" w:hAnsi="宋体"/>
          <w:sz w:val="24"/>
          <w:szCs w:val="24"/>
        </w:rPr>
        <w:t>注：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pPr>
        <w:spacing w:line="360" w:lineRule="auto"/>
        <w:ind w:firstLine="480" w:firstLineChars="200"/>
        <w:rPr>
          <w:rFonts w:ascii="宋体" w:hAnsi="宋体"/>
          <w:sz w:val="24"/>
          <w:szCs w:val="24"/>
        </w:rPr>
      </w:pPr>
      <w:r>
        <w:rPr>
          <w:rFonts w:hint="eastAsia" w:ascii="宋体" w:hAnsi="宋体"/>
          <w:sz w:val="24"/>
          <w:szCs w:val="24"/>
        </w:rPr>
        <w:t>3.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80" w:firstLineChars="200"/>
        <w:rPr>
          <w:rFonts w:ascii="宋体" w:hAnsi="宋体"/>
          <w:sz w:val="24"/>
          <w:szCs w:val="24"/>
        </w:rPr>
      </w:pPr>
      <w:r>
        <w:rPr>
          <w:rFonts w:hint="eastAsia" w:ascii="宋体" w:hAnsi="宋体"/>
          <w:sz w:val="24"/>
          <w:szCs w:val="24"/>
        </w:rPr>
        <w:t>4.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360" w:lineRule="auto"/>
        <w:ind w:firstLine="480" w:firstLineChars="200"/>
        <w:rPr>
          <w:rFonts w:ascii="宋体" w:hAnsi="宋体"/>
          <w:sz w:val="24"/>
          <w:szCs w:val="24"/>
        </w:rPr>
      </w:pPr>
      <w:r>
        <w:rPr>
          <w:rFonts w:hint="eastAsia" w:ascii="宋体" w:hAnsi="宋体"/>
          <w:sz w:val="24"/>
          <w:szCs w:val="24"/>
        </w:rPr>
        <w:t>5.在磋商过程中磋商的任何一方不得向他人透露与磋商有关的技术资料、价格或其他信息。</w:t>
      </w:r>
    </w:p>
    <w:p>
      <w:pPr>
        <w:spacing w:line="360" w:lineRule="auto"/>
        <w:ind w:firstLine="480" w:firstLineChars="200"/>
        <w:rPr>
          <w:rFonts w:ascii="宋体" w:hAnsi="宋体"/>
          <w:sz w:val="24"/>
          <w:szCs w:val="24"/>
        </w:rPr>
      </w:pPr>
      <w:r>
        <w:rPr>
          <w:rFonts w:hint="eastAsia" w:ascii="宋体" w:hAnsi="宋体"/>
          <w:sz w:val="24"/>
          <w:szCs w:val="24"/>
        </w:rPr>
        <w:t>6.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pPr>
        <w:spacing w:line="360" w:lineRule="auto"/>
        <w:ind w:firstLine="480" w:firstLineChars="200"/>
        <w:rPr>
          <w:rFonts w:ascii="宋体" w:hAnsi="宋体"/>
          <w:sz w:val="24"/>
          <w:szCs w:val="24"/>
        </w:rPr>
      </w:pPr>
      <w:r>
        <w:rPr>
          <w:rFonts w:hint="eastAsia" w:ascii="宋体" w:hAnsi="宋体"/>
          <w:sz w:val="24"/>
          <w:szCs w:val="24"/>
        </w:rPr>
        <w:t>7.供应商在磋商时作出的所有书面承诺须由法定代表人或其授权代表签字。</w:t>
      </w:r>
    </w:p>
    <w:p>
      <w:pPr>
        <w:spacing w:line="360" w:lineRule="auto"/>
        <w:ind w:firstLine="480" w:firstLineChars="200"/>
        <w:rPr>
          <w:rFonts w:ascii="宋体" w:hAnsi="宋体"/>
          <w:sz w:val="24"/>
          <w:szCs w:val="24"/>
        </w:rPr>
      </w:pPr>
      <w:r>
        <w:rPr>
          <w:rFonts w:hint="eastAsia" w:ascii="宋体" w:hAnsi="宋体"/>
          <w:sz w:val="24"/>
          <w:szCs w:val="24"/>
        </w:rPr>
        <w:t>8.经磋商确定最终采购需求且磋商结束后，供应商应当按照竞争性磋商文件的变动情况和磋商小组的要求重新提交响应文件或重新做出相关的书面承诺，最后书面提交最后报价及有关承诺（填写《最后报价表》并提交）。</w:t>
      </w:r>
      <w:r>
        <w:rPr>
          <w:rFonts w:ascii="宋体" w:hAnsi="宋体"/>
          <w:sz w:val="24"/>
          <w:szCs w:val="24"/>
        </w:rPr>
        <w:t>已提交响应文件</w:t>
      </w:r>
      <w:r>
        <w:rPr>
          <w:rFonts w:hint="eastAsia" w:ascii="宋体" w:hAnsi="宋体"/>
          <w:sz w:val="24"/>
          <w:szCs w:val="24"/>
        </w:rPr>
        <w:t>但未在规定时间内进行最后报价</w:t>
      </w:r>
      <w:r>
        <w:rPr>
          <w:rFonts w:ascii="宋体" w:hAnsi="宋体"/>
          <w:sz w:val="24"/>
          <w:szCs w:val="24"/>
        </w:rPr>
        <w:t>的供应商，</w:t>
      </w:r>
      <w:r>
        <w:rPr>
          <w:rFonts w:hint="eastAsia" w:ascii="宋体" w:hAnsi="宋体"/>
          <w:sz w:val="24"/>
          <w:szCs w:val="24"/>
        </w:rPr>
        <w:t>视为放弃最后报价，以供应商响应文件中的报价为准。</w:t>
      </w:r>
    </w:p>
    <w:p>
      <w:pPr>
        <w:spacing w:line="360" w:lineRule="auto"/>
        <w:ind w:firstLine="480" w:firstLineChars="200"/>
        <w:rPr>
          <w:rFonts w:ascii="宋体" w:hAnsi="宋体"/>
          <w:sz w:val="24"/>
          <w:szCs w:val="24"/>
        </w:rPr>
      </w:pPr>
      <w:r>
        <w:rPr>
          <w:rFonts w:hint="eastAsia" w:ascii="宋体" w:hAnsi="宋体"/>
          <w:sz w:val="24"/>
          <w:szCs w:val="24"/>
        </w:rPr>
        <w:t>9.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pPr>
        <w:snapToGrid w:val="0"/>
        <w:spacing w:line="360" w:lineRule="auto"/>
        <w:ind w:firstLine="480" w:firstLineChars="200"/>
        <w:rPr>
          <w:rFonts w:ascii="宋体" w:hAnsi="宋体"/>
          <w:sz w:val="24"/>
          <w:szCs w:val="24"/>
        </w:rPr>
      </w:pPr>
      <w:r>
        <w:rPr>
          <w:rFonts w:hint="eastAsia" w:ascii="宋体" w:hAnsi="宋体"/>
          <w:sz w:val="24"/>
          <w:szCs w:val="24"/>
        </w:rPr>
        <w:t>10.磋商小组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p>
    <w:p>
      <w:pPr>
        <w:pStyle w:val="4"/>
        <w:snapToGrid w:val="0"/>
        <w:spacing w:line="360" w:lineRule="auto"/>
        <w:ind w:firstLine="482" w:firstLineChars="200"/>
        <w:rPr>
          <w:rFonts w:ascii="宋体" w:hAnsi="宋体"/>
          <w:sz w:val="24"/>
          <w:szCs w:val="24"/>
        </w:rPr>
      </w:pPr>
      <w:bookmarkStart w:id="59" w:name="_Toc101697403"/>
      <w:r>
        <w:rPr>
          <w:rFonts w:hint="eastAsia" w:ascii="宋体" w:hAnsi="宋体"/>
          <w:sz w:val="24"/>
          <w:szCs w:val="24"/>
        </w:rPr>
        <w:t>二、</w:t>
      </w:r>
      <w:bookmarkStart w:id="60" w:name="_Toc342913394"/>
      <w:bookmarkStart w:id="61" w:name="_Toc102227320"/>
      <w:r>
        <w:rPr>
          <w:rFonts w:hint="eastAsia" w:ascii="宋体" w:hAnsi="宋体"/>
          <w:sz w:val="24"/>
          <w:szCs w:val="24"/>
        </w:rPr>
        <w:t>评审标准</w:t>
      </w:r>
      <w:bookmarkEnd w:id="59"/>
    </w:p>
    <w:tbl>
      <w:tblPr>
        <w:tblStyle w:val="58"/>
        <w:tblW w:w="962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4"/>
        <w:gridCol w:w="992"/>
        <w:gridCol w:w="4678"/>
        <w:gridCol w:w="2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709" w:type="dxa"/>
            <w:vAlign w:val="center"/>
          </w:tcPr>
          <w:p>
            <w:pPr>
              <w:spacing w:line="240" w:lineRule="atLeast"/>
              <w:ind w:firstLine="28"/>
              <w:jc w:val="center"/>
              <w:rPr>
                <w:rFonts w:ascii="宋体" w:hAnsi="宋体"/>
                <w:b/>
                <w:sz w:val="21"/>
                <w:szCs w:val="21"/>
              </w:rPr>
            </w:pPr>
            <w:r>
              <w:rPr>
                <w:rFonts w:hint="eastAsia" w:ascii="宋体" w:hAnsi="宋体"/>
                <w:b/>
                <w:sz w:val="21"/>
                <w:szCs w:val="21"/>
              </w:rPr>
              <w:t>序号</w:t>
            </w:r>
          </w:p>
        </w:tc>
        <w:tc>
          <w:tcPr>
            <w:tcW w:w="1134" w:type="dxa"/>
            <w:vAlign w:val="center"/>
          </w:tcPr>
          <w:p>
            <w:pPr>
              <w:spacing w:line="240" w:lineRule="atLeast"/>
              <w:ind w:firstLine="28"/>
              <w:jc w:val="center"/>
              <w:rPr>
                <w:rFonts w:ascii="宋体" w:hAnsi="宋体"/>
                <w:b/>
                <w:sz w:val="21"/>
                <w:szCs w:val="21"/>
              </w:rPr>
            </w:pPr>
            <w:r>
              <w:rPr>
                <w:rFonts w:hint="eastAsia" w:ascii="宋体" w:hAnsi="宋体"/>
                <w:b/>
                <w:sz w:val="21"/>
                <w:szCs w:val="21"/>
              </w:rPr>
              <w:t>评分因素及权值</w:t>
            </w:r>
          </w:p>
        </w:tc>
        <w:tc>
          <w:tcPr>
            <w:tcW w:w="992" w:type="dxa"/>
            <w:vAlign w:val="center"/>
          </w:tcPr>
          <w:p>
            <w:pPr>
              <w:spacing w:line="240" w:lineRule="atLeast"/>
              <w:ind w:firstLine="28"/>
              <w:jc w:val="center"/>
              <w:rPr>
                <w:rFonts w:ascii="宋体" w:hAnsi="宋体"/>
                <w:b/>
                <w:sz w:val="21"/>
                <w:szCs w:val="21"/>
              </w:rPr>
            </w:pPr>
            <w:r>
              <w:rPr>
                <w:rFonts w:hint="eastAsia" w:ascii="宋体" w:hAnsi="宋体"/>
                <w:b/>
                <w:sz w:val="21"/>
                <w:szCs w:val="21"/>
              </w:rPr>
              <w:t>分值（单位：分）</w:t>
            </w:r>
          </w:p>
        </w:tc>
        <w:tc>
          <w:tcPr>
            <w:tcW w:w="4678" w:type="dxa"/>
            <w:vAlign w:val="center"/>
          </w:tcPr>
          <w:p>
            <w:pPr>
              <w:spacing w:line="240" w:lineRule="atLeast"/>
              <w:ind w:firstLine="28"/>
              <w:jc w:val="center"/>
              <w:rPr>
                <w:rFonts w:ascii="宋体" w:hAnsi="宋体"/>
                <w:b/>
                <w:sz w:val="21"/>
                <w:szCs w:val="21"/>
              </w:rPr>
            </w:pPr>
            <w:r>
              <w:rPr>
                <w:rFonts w:hint="eastAsia" w:ascii="宋体" w:hAnsi="宋体"/>
                <w:b/>
                <w:sz w:val="21"/>
                <w:szCs w:val="21"/>
              </w:rPr>
              <w:t>评分标准</w:t>
            </w:r>
          </w:p>
        </w:tc>
        <w:tc>
          <w:tcPr>
            <w:tcW w:w="2115" w:type="dxa"/>
            <w:vAlign w:val="center"/>
          </w:tcPr>
          <w:p>
            <w:pPr>
              <w:spacing w:line="240" w:lineRule="atLeast"/>
              <w:jc w:val="center"/>
              <w:rPr>
                <w:rFonts w:ascii="宋体" w:hAnsi="宋体"/>
                <w:b/>
                <w:sz w:val="21"/>
                <w:szCs w:val="21"/>
              </w:rPr>
            </w:pPr>
            <w:r>
              <w:rPr>
                <w:rFonts w:hint="eastAsia" w:ascii="宋体" w:hAnsi="宋体"/>
                <w:b/>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709" w:type="dxa"/>
            <w:vAlign w:val="center"/>
          </w:tcPr>
          <w:p>
            <w:pPr>
              <w:spacing w:line="240" w:lineRule="atLeast"/>
              <w:ind w:firstLine="28"/>
              <w:jc w:val="center"/>
              <w:rPr>
                <w:rFonts w:ascii="宋体" w:hAnsi="宋体"/>
                <w:sz w:val="21"/>
                <w:szCs w:val="21"/>
              </w:rPr>
            </w:pPr>
            <w:r>
              <w:rPr>
                <w:rFonts w:hint="eastAsia" w:ascii="宋体" w:hAnsi="宋体"/>
                <w:sz w:val="21"/>
                <w:szCs w:val="21"/>
              </w:rPr>
              <w:t>1</w:t>
            </w:r>
          </w:p>
        </w:tc>
        <w:tc>
          <w:tcPr>
            <w:tcW w:w="1134" w:type="dxa"/>
            <w:vAlign w:val="center"/>
          </w:tcPr>
          <w:p>
            <w:pPr>
              <w:spacing w:line="240" w:lineRule="atLeast"/>
              <w:ind w:firstLine="28"/>
              <w:jc w:val="center"/>
              <w:rPr>
                <w:rFonts w:ascii="宋体" w:hAnsi="宋体"/>
                <w:sz w:val="21"/>
                <w:szCs w:val="21"/>
              </w:rPr>
            </w:pPr>
            <w:r>
              <w:rPr>
                <w:rFonts w:hint="eastAsia" w:ascii="宋体" w:hAnsi="宋体"/>
                <w:sz w:val="21"/>
                <w:szCs w:val="21"/>
              </w:rPr>
              <w:t>磋商报价</w:t>
            </w:r>
          </w:p>
          <w:p>
            <w:pPr>
              <w:spacing w:line="240" w:lineRule="atLeast"/>
              <w:ind w:firstLine="28"/>
              <w:jc w:val="center"/>
              <w:rPr>
                <w:rFonts w:ascii="宋体" w:hAnsi="宋体"/>
                <w:sz w:val="21"/>
                <w:szCs w:val="21"/>
              </w:rPr>
            </w:pPr>
            <w:r>
              <w:rPr>
                <w:rFonts w:hint="eastAsia" w:ascii="宋体" w:hAnsi="宋体"/>
                <w:sz w:val="21"/>
                <w:szCs w:val="21"/>
              </w:rPr>
              <w:t>（10%）</w:t>
            </w:r>
          </w:p>
        </w:tc>
        <w:tc>
          <w:tcPr>
            <w:tcW w:w="992" w:type="dxa"/>
            <w:vAlign w:val="center"/>
          </w:tcPr>
          <w:p>
            <w:pPr>
              <w:spacing w:line="240" w:lineRule="atLeast"/>
              <w:ind w:firstLine="28"/>
              <w:jc w:val="center"/>
              <w:rPr>
                <w:rFonts w:ascii="宋体" w:hAnsi="宋体"/>
                <w:sz w:val="21"/>
                <w:szCs w:val="21"/>
              </w:rPr>
            </w:pPr>
            <w:r>
              <w:rPr>
                <w:rFonts w:hint="eastAsia" w:ascii="宋体" w:hAnsi="宋体"/>
                <w:sz w:val="21"/>
                <w:szCs w:val="21"/>
              </w:rPr>
              <w:t>10分</w:t>
            </w:r>
          </w:p>
        </w:tc>
        <w:tc>
          <w:tcPr>
            <w:tcW w:w="4678" w:type="dxa"/>
            <w:vAlign w:val="center"/>
          </w:tcPr>
          <w:p>
            <w:pPr>
              <w:spacing w:line="240" w:lineRule="atLeast"/>
              <w:rPr>
                <w:rFonts w:ascii="宋体" w:hAnsi="宋体"/>
                <w:sz w:val="21"/>
                <w:szCs w:val="21"/>
              </w:rPr>
            </w:pPr>
            <w:r>
              <w:rPr>
                <w:rFonts w:hint="eastAsia" w:ascii="宋体" w:hAnsi="宋体"/>
                <w:sz w:val="21"/>
                <w:szCs w:val="21"/>
              </w:rPr>
              <w:t>满足磋商文件资格要求且最后报价最低的供应商的价格为磋商基准价，按照下列公式计算每个供应商的磋商报价得分。</w:t>
            </w:r>
          </w:p>
          <w:p>
            <w:pPr>
              <w:spacing w:line="240" w:lineRule="atLeast"/>
              <w:rPr>
                <w:rFonts w:ascii="宋体" w:hAnsi="宋体"/>
                <w:sz w:val="21"/>
                <w:szCs w:val="21"/>
              </w:rPr>
            </w:pPr>
            <w:r>
              <w:rPr>
                <w:rFonts w:hint="eastAsia" w:ascii="宋体" w:hAnsi="宋体"/>
                <w:sz w:val="21"/>
                <w:szCs w:val="21"/>
              </w:rPr>
              <w:t>磋商报价得分=（磋商基准价/最后磋商报价）×价格权值×100</w:t>
            </w:r>
          </w:p>
        </w:tc>
        <w:tc>
          <w:tcPr>
            <w:tcW w:w="2115" w:type="dxa"/>
            <w:vAlign w:val="center"/>
          </w:tcPr>
          <w:p>
            <w:pPr>
              <w:spacing w:line="240" w:lineRule="atLeast"/>
              <w:ind w:left="-38"/>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1" w:hRule="atLeast"/>
        </w:trPr>
        <w:tc>
          <w:tcPr>
            <w:tcW w:w="709" w:type="dxa"/>
            <w:vMerge w:val="restart"/>
            <w:vAlign w:val="center"/>
          </w:tcPr>
          <w:p>
            <w:pPr>
              <w:spacing w:line="240" w:lineRule="atLeast"/>
              <w:ind w:firstLine="28"/>
              <w:jc w:val="center"/>
              <w:rPr>
                <w:rFonts w:ascii="宋体" w:hAnsi="宋体"/>
                <w:sz w:val="21"/>
                <w:szCs w:val="21"/>
              </w:rPr>
            </w:pPr>
            <w:r>
              <w:rPr>
                <w:rFonts w:hint="eastAsia" w:ascii="宋体" w:hAnsi="宋体"/>
                <w:sz w:val="21"/>
                <w:szCs w:val="21"/>
              </w:rPr>
              <w:t>2</w:t>
            </w:r>
          </w:p>
        </w:tc>
        <w:tc>
          <w:tcPr>
            <w:tcW w:w="1134" w:type="dxa"/>
            <w:vMerge w:val="restart"/>
            <w:vAlign w:val="center"/>
          </w:tcPr>
          <w:p>
            <w:pPr>
              <w:spacing w:line="240" w:lineRule="atLeast"/>
              <w:ind w:firstLine="28"/>
              <w:jc w:val="center"/>
              <w:rPr>
                <w:rFonts w:ascii="宋体" w:hAnsi="宋体"/>
                <w:sz w:val="21"/>
                <w:szCs w:val="21"/>
              </w:rPr>
            </w:pPr>
            <w:r>
              <w:rPr>
                <w:rFonts w:hint="eastAsia" w:ascii="宋体" w:hAnsi="宋体"/>
                <w:sz w:val="21"/>
                <w:szCs w:val="21"/>
              </w:rPr>
              <w:t>服务部分（40%）</w:t>
            </w:r>
          </w:p>
        </w:tc>
        <w:tc>
          <w:tcPr>
            <w:tcW w:w="992" w:type="dxa"/>
            <w:vMerge w:val="restart"/>
            <w:vAlign w:val="center"/>
          </w:tcPr>
          <w:p>
            <w:pPr>
              <w:spacing w:line="240" w:lineRule="atLeast"/>
              <w:jc w:val="center"/>
              <w:rPr>
                <w:rFonts w:ascii="宋体" w:hAnsi="宋体" w:cs="仿宋"/>
                <w:sz w:val="21"/>
                <w:szCs w:val="21"/>
              </w:rPr>
            </w:pPr>
            <w:r>
              <w:rPr>
                <w:rFonts w:hint="eastAsia" w:ascii="宋体" w:hAnsi="宋体" w:cs="仿宋"/>
                <w:sz w:val="21"/>
                <w:szCs w:val="21"/>
              </w:rPr>
              <w:t>40分</w:t>
            </w:r>
          </w:p>
        </w:tc>
        <w:tc>
          <w:tcPr>
            <w:tcW w:w="4678" w:type="dxa"/>
            <w:vAlign w:val="center"/>
          </w:tcPr>
          <w:p>
            <w:pPr>
              <w:spacing w:line="240" w:lineRule="atLeast"/>
              <w:rPr>
                <w:rFonts w:ascii="宋体" w:hAnsi="宋体"/>
                <w:sz w:val="21"/>
                <w:szCs w:val="21"/>
              </w:rPr>
            </w:pPr>
            <w:r>
              <w:rPr>
                <w:rFonts w:hint="eastAsia" w:ascii="宋体" w:hAnsi="宋体"/>
                <w:sz w:val="21"/>
                <w:szCs w:val="21"/>
              </w:rPr>
              <w:t>1.服务方案（</w:t>
            </w:r>
            <w:r>
              <w:rPr>
                <w:rFonts w:ascii="宋体" w:hAnsi="宋体"/>
                <w:sz w:val="21"/>
                <w:szCs w:val="21"/>
              </w:rPr>
              <w:t>20分）</w:t>
            </w:r>
          </w:p>
          <w:p>
            <w:pPr>
              <w:spacing w:line="240" w:lineRule="atLeast"/>
              <w:rPr>
                <w:rFonts w:ascii="宋体" w:hAnsi="宋体"/>
                <w:sz w:val="21"/>
                <w:szCs w:val="21"/>
              </w:rPr>
            </w:pPr>
            <w:r>
              <w:rPr>
                <w:rFonts w:hint="eastAsia" w:ascii="宋体" w:hAnsi="宋体"/>
                <w:sz w:val="21"/>
                <w:szCs w:val="21"/>
              </w:rPr>
              <w:t>根据供应商组织机构设置、服务内容及执行标准、服务保障进行评审。内容全面、条理清晰的得20</w:t>
            </w:r>
            <w:r>
              <w:rPr>
                <w:rFonts w:ascii="宋体" w:hAnsi="宋体"/>
                <w:sz w:val="21"/>
                <w:szCs w:val="21"/>
              </w:rPr>
              <w:t>分；方案内容较全面、条理较清晰的得</w:t>
            </w:r>
            <w:r>
              <w:rPr>
                <w:rFonts w:hint="eastAsia" w:ascii="宋体" w:hAnsi="宋体"/>
                <w:sz w:val="21"/>
                <w:szCs w:val="21"/>
              </w:rPr>
              <w:t>12</w:t>
            </w:r>
            <w:r>
              <w:rPr>
                <w:rFonts w:ascii="宋体" w:hAnsi="宋体"/>
                <w:sz w:val="21"/>
                <w:szCs w:val="21"/>
              </w:rPr>
              <w:t>分；方案内容不够全面的得</w:t>
            </w:r>
            <w:r>
              <w:rPr>
                <w:rFonts w:hint="eastAsia" w:ascii="宋体" w:hAnsi="宋体"/>
                <w:sz w:val="21"/>
                <w:szCs w:val="21"/>
              </w:rPr>
              <w:t>4</w:t>
            </w:r>
            <w:r>
              <w:rPr>
                <w:rFonts w:ascii="宋体" w:hAnsi="宋体"/>
                <w:sz w:val="21"/>
                <w:szCs w:val="21"/>
              </w:rPr>
              <w:t>分；差或未提供不得分。</w:t>
            </w:r>
          </w:p>
        </w:tc>
        <w:tc>
          <w:tcPr>
            <w:tcW w:w="2115" w:type="dxa"/>
            <w:vMerge w:val="restart"/>
            <w:vAlign w:val="center"/>
          </w:tcPr>
          <w:p>
            <w:pPr>
              <w:spacing w:line="240" w:lineRule="atLeast"/>
              <w:rPr>
                <w:rFonts w:ascii="宋体" w:hAnsi="宋体"/>
                <w:sz w:val="21"/>
                <w:szCs w:val="21"/>
              </w:rPr>
            </w:pPr>
            <w:r>
              <w:rPr>
                <w:rFonts w:hint="eastAsia" w:ascii="宋体" w:hAnsi="宋体"/>
                <w:sz w:val="21"/>
                <w:szCs w:val="21"/>
              </w:rPr>
              <w:t>根据供应商提供的方案评分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709" w:type="dxa"/>
            <w:vMerge w:val="continue"/>
            <w:vAlign w:val="center"/>
          </w:tcPr>
          <w:p>
            <w:pPr>
              <w:spacing w:line="240" w:lineRule="atLeast"/>
              <w:ind w:firstLine="28"/>
              <w:jc w:val="center"/>
              <w:rPr>
                <w:rFonts w:ascii="宋体" w:hAnsi="宋体"/>
                <w:sz w:val="21"/>
                <w:szCs w:val="21"/>
              </w:rPr>
            </w:pPr>
          </w:p>
        </w:tc>
        <w:tc>
          <w:tcPr>
            <w:tcW w:w="1134" w:type="dxa"/>
            <w:vMerge w:val="continue"/>
            <w:vAlign w:val="center"/>
          </w:tcPr>
          <w:p>
            <w:pPr>
              <w:spacing w:line="240" w:lineRule="atLeast"/>
              <w:ind w:firstLine="28"/>
              <w:jc w:val="center"/>
              <w:rPr>
                <w:rFonts w:ascii="宋体" w:hAnsi="宋体"/>
                <w:sz w:val="21"/>
                <w:szCs w:val="21"/>
              </w:rPr>
            </w:pPr>
          </w:p>
        </w:tc>
        <w:tc>
          <w:tcPr>
            <w:tcW w:w="992" w:type="dxa"/>
            <w:vMerge w:val="continue"/>
            <w:vAlign w:val="center"/>
          </w:tcPr>
          <w:p>
            <w:pPr>
              <w:spacing w:line="240" w:lineRule="atLeast"/>
              <w:jc w:val="center"/>
              <w:rPr>
                <w:rFonts w:ascii="宋体" w:hAnsi="宋体" w:cs="仿宋"/>
                <w:sz w:val="21"/>
                <w:szCs w:val="21"/>
              </w:rPr>
            </w:pPr>
          </w:p>
        </w:tc>
        <w:tc>
          <w:tcPr>
            <w:tcW w:w="4678" w:type="dxa"/>
            <w:vAlign w:val="center"/>
          </w:tcPr>
          <w:p>
            <w:pPr>
              <w:spacing w:line="240" w:lineRule="atLeast"/>
              <w:rPr>
                <w:rFonts w:ascii="宋体" w:hAnsi="宋体"/>
                <w:sz w:val="21"/>
                <w:szCs w:val="21"/>
              </w:rPr>
            </w:pPr>
            <w:r>
              <w:rPr>
                <w:rFonts w:hint="eastAsia" w:ascii="宋体" w:hAnsi="宋体"/>
                <w:sz w:val="21"/>
                <w:szCs w:val="21"/>
              </w:rPr>
              <w:t>2.质量控制管理制度（</w:t>
            </w:r>
            <w:r>
              <w:rPr>
                <w:rFonts w:ascii="宋体" w:hAnsi="宋体"/>
                <w:sz w:val="21"/>
                <w:szCs w:val="21"/>
              </w:rPr>
              <w:t>10分）</w:t>
            </w:r>
          </w:p>
          <w:p>
            <w:pPr>
              <w:spacing w:line="240" w:lineRule="atLeast"/>
              <w:rPr>
                <w:rFonts w:ascii="宋体" w:hAnsi="宋体"/>
                <w:sz w:val="21"/>
                <w:szCs w:val="21"/>
              </w:rPr>
            </w:pPr>
            <w:r>
              <w:rPr>
                <w:rFonts w:hint="eastAsia" w:ascii="宋体" w:hAnsi="宋体"/>
                <w:sz w:val="21"/>
                <w:szCs w:val="21"/>
              </w:rPr>
              <w:t>根据供应商提供的代理招标流程进行评审。流程全面、条理清晰的得</w:t>
            </w:r>
            <w:r>
              <w:rPr>
                <w:rFonts w:ascii="宋体" w:hAnsi="宋体"/>
                <w:sz w:val="21"/>
                <w:szCs w:val="21"/>
              </w:rPr>
              <w:t>10分；流程较全面、条理较清晰的得6分；流程不够全面、条理不够清晰的得2分；差或未提供不得分。</w:t>
            </w:r>
          </w:p>
        </w:tc>
        <w:tc>
          <w:tcPr>
            <w:tcW w:w="2115" w:type="dxa"/>
            <w:vMerge w:val="continue"/>
            <w:vAlign w:val="center"/>
          </w:tcPr>
          <w:p>
            <w:pPr>
              <w:spacing w:line="240" w:lineRule="atLeast"/>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709" w:type="dxa"/>
            <w:vMerge w:val="continue"/>
            <w:vAlign w:val="center"/>
          </w:tcPr>
          <w:p>
            <w:pPr>
              <w:spacing w:line="240" w:lineRule="atLeast"/>
              <w:ind w:firstLine="28"/>
              <w:jc w:val="center"/>
              <w:rPr>
                <w:rFonts w:ascii="宋体" w:hAnsi="宋体"/>
                <w:sz w:val="21"/>
                <w:szCs w:val="21"/>
              </w:rPr>
            </w:pPr>
          </w:p>
        </w:tc>
        <w:tc>
          <w:tcPr>
            <w:tcW w:w="1134" w:type="dxa"/>
            <w:vMerge w:val="continue"/>
            <w:vAlign w:val="center"/>
          </w:tcPr>
          <w:p>
            <w:pPr>
              <w:spacing w:line="240" w:lineRule="atLeast"/>
              <w:ind w:firstLine="28"/>
              <w:jc w:val="center"/>
              <w:rPr>
                <w:rFonts w:ascii="宋体" w:hAnsi="宋体"/>
                <w:sz w:val="21"/>
                <w:szCs w:val="21"/>
              </w:rPr>
            </w:pPr>
          </w:p>
        </w:tc>
        <w:tc>
          <w:tcPr>
            <w:tcW w:w="992" w:type="dxa"/>
            <w:vMerge w:val="continue"/>
            <w:vAlign w:val="center"/>
          </w:tcPr>
          <w:p>
            <w:pPr>
              <w:spacing w:line="240" w:lineRule="atLeast"/>
              <w:jc w:val="center"/>
              <w:rPr>
                <w:rFonts w:ascii="宋体" w:hAnsi="宋体" w:cs="仿宋"/>
                <w:sz w:val="21"/>
                <w:szCs w:val="21"/>
              </w:rPr>
            </w:pPr>
          </w:p>
        </w:tc>
        <w:tc>
          <w:tcPr>
            <w:tcW w:w="4678" w:type="dxa"/>
            <w:vAlign w:val="center"/>
          </w:tcPr>
          <w:p>
            <w:pPr>
              <w:spacing w:line="240" w:lineRule="atLeast"/>
              <w:rPr>
                <w:rFonts w:ascii="宋体" w:hAnsi="宋体"/>
                <w:sz w:val="21"/>
                <w:szCs w:val="21"/>
              </w:rPr>
            </w:pPr>
            <w:r>
              <w:rPr>
                <w:rFonts w:hint="eastAsia" w:ascii="宋体" w:hAnsi="宋体"/>
                <w:sz w:val="21"/>
                <w:szCs w:val="21"/>
              </w:rPr>
              <w:t>3.档案管理制度（</w:t>
            </w:r>
            <w:r>
              <w:rPr>
                <w:rFonts w:ascii="宋体" w:hAnsi="宋体"/>
                <w:sz w:val="21"/>
                <w:szCs w:val="21"/>
              </w:rPr>
              <w:t>10分）</w:t>
            </w:r>
          </w:p>
          <w:p>
            <w:pPr>
              <w:spacing w:line="240" w:lineRule="atLeast"/>
              <w:rPr>
                <w:rFonts w:ascii="宋体" w:hAnsi="宋体"/>
                <w:sz w:val="21"/>
                <w:szCs w:val="21"/>
              </w:rPr>
            </w:pPr>
            <w:r>
              <w:rPr>
                <w:rFonts w:hint="eastAsia" w:ascii="宋体" w:hAnsi="宋体"/>
                <w:sz w:val="21"/>
                <w:szCs w:val="21"/>
              </w:rPr>
              <w:t>根据供应商提供的档案资料管理制度进行评审。制度完善、管理落实到位的得</w:t>
            </w:r>
            <w:r>
              <w:rPr>
                <w:rFonts w:ascii="宋体" w:hAnsi="宋体"/>
                <w:sz w:val="21"/>
                <w:szCs w:val="21"/>
              </w:rPr>
              <w:t>1</w:t>
            </w:r>
            <w:r>
              <w:rPr>
                <w:rFonts w:hint="eastAsia" w:ascii="宋体" w:hAnsi="宋体"/>
                <w:sz w:val="21"/>
                <w:szCs w:val="21"/>
              </w:rPr>
              <w:t>0</w:t>
            </w:r>
            <w:r>
              <w:rPr>
                <w:rFonts w:ascii="宋体" w:hAnsi="宋体"/>
                <w:sz w:val="21"/>
                <w:szCs w:val="21"/>
              </w:rPr>
              <w:t>分；制度较完善、管理落实一般的得</w:t>
            </w:r>
            <w:r>
              <w:rPr>
                <w:rFonts w:hint="eastAsia" w:ascii="宋体" w:hAnsi="宋体"/>
                <w:sz w:val="21"/>
                <w:szCs w:val="21"/>
              </w:rPr>
              <w:t>6</w:t>
            </w:r>
            <w:r>
              <w:rPr>
                <w:rFonts w:ascii="宋体" w:hAnsi="宋体"/>
                <w:sz w:val="21"/>
                <w:szCs w:val="21"/>
              </w:rPr>
              <w:t>分；制度稍有缺陷的得</w:t>
            </w:r>
            <w:r>
              <w:rPr>
                <w:rFonts w:hint="eastAsia" w:ascii="宋体" w:hAnsi="宋体"/>
                <w:sz w:val="21"/>
                <w:szCs w:val="21"/>
              </w:rPr>
              <w:t>2</w:t>
            </w:r>
            <w:r>
              <w:rPr>
                <w:rFonts w:ascii="宋体" w:hAnsi="宋体"/>
                <w:sz w:val="21"/>
                <w:szCs w:val="21"/>
              </w:rPr>
              <w:t>分；差或未提供不得分。</w:t>
            </w:r>
          </w:p>
        </w:tc>
        <w:tc>
          <w:tcPr>
            <w:tcW w:w="2115" w:type="dxa"/>
            <w:vMerge w:val="continue"/>
            <w:vAlign w:val="center"/>
          </w:tcPr>
          <w:p>
            <w:pPr>
              <w:spacing w:line="240" w:lineRule="atLeast"/>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709" w:type="dxa"/>
            <w:vAlign w:val="center"/>
          </w:tcPr>
          <w:p>
            <w:pPr>
              <w:spacing w:line="240" w:lineRule="atLeast"/>
              <w:ind w:firstLine="28"/>
              <w:jc w:val="center"/>
              <w:rPr>
                <w:rFonts w:ascii="宋体" w:hAnsi="宋体"/>
                <w:sz w:val="21"/>
                <w:szCs w:val="21"/>
              </w:rPr>
            </w:pPr>
          </w:p>
        </w:tc>
        <w:tc>
          <w:tcPr>
            <w:tcW w:w="1134" w:type="dxa"/>
            <w:vMerge w:val="restart"/>
            <w:vAlign w:val="center"/>
          </w:tcPr>
          <w:p>
            <w:pPr>
              <w:spacing w:line="240" w:lineRule="atLeast"/>
              <w:ind w:firstLine="28"/>
              <w:jc w:val="center"/>
              <w:rPr>
                <w:rFonts w:ascii="宋体" w:hAnsi="宋体"/>
                <w:color w:val="000000" w:themeColor="text1"/>
                <w:sz w:val="21"/>
                <w:szCs w:val="21"/>
              </w:rPr>
            </w:pPr>
            <w:r>
              <w:rPr>
                <w:rFonts w:hint="eastAsia" w:ascii="宋体" w:hAnsi="宋体"/>
                <w:color w:val="000000" w:themeColor="text1"/>
                <w:sz w:val="21"/>
                <w:szCs w:val="21"/>
              </w:rPr>
              <w:t>商务部分</w:t>
            </w:r>
          </w:p>
          <w:p>
            <w:pPr>
              <w:spacing w:line="240" w:lineRule="atLeast"/>
              <w:ind w:firstLine="28"/>
              <w:jc w:val="center"/>
              <w:rPr>
                <w:rFonts w:ascii="宋体" w:hAnsi="宋体"/>
                <w:color w:val="000000" w:themeColor="text1"/>
                <w:sz w:val="21"/>
                <w:szCs w:val="21"/>
              </w:rPr>
            </w:pPr>
            <w:r>
              <w:rPr>
                <w:rFonts w:hint="eastAsia" w:ascii="宋体" w:hAnsi="宋体"/>
                <w:color w:val="000000" w:themeColor="text1"/>
                <w:sz w:val="21"/>
                <w:szCs w:val="21"/>
              </w:rPr>
              <w:t>（50%）</w:t>
            </w:r>
          </w:p>
        </w:tc>
        <w:tc>
          <w:tcPr>
            <w:tcW w:w="992" w:type="dxa"/>
            <w:vAlign w:val="center"/>
          </w:tcPr>
          <w:p>
            <w:pPr>
              <w:spacing w:line="240" w:lineRule="atLeast"/>
              <w:jc w:val="center"/>
              <w:rPr>
                <w:rFonts w:ascii="宋体" w:hAnsi="宋体"/>
                <w:color w:val="000000" w:themeColor="text1"/>
                <w:sz w:val="21"/>
                <w:szCs w:val="21"/>
              </w:rPr>
            </w:pPr>
            <w:r>
              <w:rPr>
                <w:rFonts w:ascii="宋体" w:hAnsi="宋体"/>
                <w:color w:val="000000" w:themeColor="text1"/>
                <w:sz w:val="21"/>
                <w:szCs w:val="21"/>
              </w:rPr>
              <w:t>10</w:t>
            </w:r>
            <w:r>
              <w:rPr>
                <w:rFonts w:hint="eastAsia" w:ascii="宋体" w:hAnsi="宋体"/>
                <w:color w:val="000000" w:themeColor="text1"/>
                <w:sz w:val="21"/>
                <w:szCs w:val="21"/>
              </w:rPr>
              <w:t>分</w:t>
            </w:r>
          </w:p>
        </w:tc>
        <w:tc>
          <w:tcPr>
            <w:tcW w:w="4678" w:type="dxa"/>
            <w:vAlign w:val="center"/>
          </w:tcPr>
          <w:p>
            <w:pPr>
              <w:spacing w:line="240" w:lineRule="atLeast"/>
              <w:rPr>
                <w:rFonts w:ascii="宋体" w:hAnsi="宋体"/>
                <w:color w:val="000000" w:themeColor="text1"/>
                <w:sz w:val="21"/>
                <w:szCs w:val="21"/>
              </w:rPr>
            </w:pPr>
            <w:r>
              <w:rPr>
                <w:rFonts w:hint="eastAsia" w:ascii="宋体" w:hAnsi="宋体"/>
                <w:color w:val="000000" w:themeColor="text1"/>
                <w:sz w:val="21"/>
                <w:szCs w:val="21"/>
              </w:rPr>
              <w:t>专业团队（10分）</w:t>
            </w:r>
          </w:p>
          <w:p>
            <w:pPr>
              <w:spacing w:line="240" w:lineRule="atLeast"/>
              <w:jc w:val="left"/>
              <w:rPr>
                <w:rFonts w:ascii="宋体" w:hAnsi="宋体"/>
                <w:color w:val="000000" w:themeColor="text1"/>
                <w:sz w:val="21"/>
                <w:szCs w:val="21"/>
              </w:rPr>
            </w:pPr>
            <w:r>
              <w:rPr>
                <w:rFonts w:hint="eastAsia" w:ascii="仿宋" w:hAnsi="仿宋" w:eastAsia="仿宋" w:cs="仿宋"/>
                <w:color w:val="000000" w:themeColor="text1"/>
                <w:sz w:val="24"/>
                <w:szCs w:val="24"/>
              </w:rPr>
              <w:t>1</w:t>
            </w:r>
            <w:r>
              <w:rPr>
                <w:rFonts w:ascii="宋体" w:hAnsi="宋体"/>
                <w:color w:val="000000" w:themeColor="text1"/>
                <w:sz w:val="21"/>
                <w:szCs w:val="21"/>
              </w:rPr>
              <w:t>.根据供应商拟派本项目负责人的经验、资历（履历、从业时间、业绩等）进行评分。优：5</w:t>
            </w:r>
            <w:r>
              <w:rPr>
                <w:rFonts w:hint="eastAsia" w:ascii="宋体" w:hAnsi="宋体"/>
                <w:color w:val="000000" w:themeColor="text1"/>
                <w:sz w:val="21"/>
                <w:szCs w:val="21"/>
              </w:rPr>
              <w:t>分，良：</w:t>
            </w:r>
            <w:r>
              <w:rPr>
                <w:rFonts w:ascii="宋体" w:hAnsi="宋体"/>
                <w:color w:val="000000" w:themeColor="text1"/>
                <w:sz w:val="21"/>
                <w:szCs w:val="21"/>
              </w:rPr>
              <w:t>3</w:t>
            </w:r>
            <w:r>
              <w:rPr>
                <w:rFonts w:hint="eastAsia" w:ascii="宋体" w:hAnsi="宋体"/>
                <w:color w:val="000000" w:themeColor="text1"/>
                <w:sz w:val="21"/>
                <w:szCs w:val="21"/>
              </w:rPr>
              <w:t>分，一般：</w:t>
            </w:r>
            <w:r>
              <w:rPr>
                <w:rFonts w:ascii="宋体" w:hAnsi="宋体"/>
                <w:color w:val="000000" w:themeColor="text1"/>
                <w:sz w:val="21"/>
                <w:szCs w:val="21"/>
              </w:rPr>
              <w:t>1</w:t>
            </w:r>
            <w:r>
              <w:rPr>
                <w:rFonts w:hint="eastAsia" w:ascii="宋体" w:hAnsi="宋体"/>
                <w:color w:val="000000" w:themeColor="text1"/>
                <w:sz w:val="21"/>
                <w:szCs w:val="21"/>
              </w:rPr>
              <w:t>分，差或</w:t>
            </w:r>
            <w:r>
              <w:rPr>
                <w:rFonts w:ascii="宋体" w:hAnsi="宋体"/>
                <w:color w:val="000000" w:themeColor="text1"/>
                <w:sz w:val="21"/>
                <w:szCs w:val="21"/>
              </w:rPr>
              <w:t>未提供不得分。</w:t>
            </w:r>
          </w:p>
          <w:p>
            <w:pPr>
              <w:spacing w:line="240" w:lineRule="atLeast"/>
              <w:jc w:val="left"/>
              <w:rPr>
                <w:rFonts w:ascii="宋体" w:hAnsi="宋体"/>
                <w:color w:val="000000" w:themeColor="text1"/>
                <w:sz w:val="21"/>
                <w:szCs w:val="21"/>
              </w:rPr>
            </w:pPr>
            <w:r>
              <w:rPr>
                <w:rFonts w:ascii="宋体" w:hAnsi="宋体"/>
                <w:color w:val="000000" w:themeColor="text1"/>
                <w:sz w:val="21"/>
                <w:szCs w:val="21"/>
              </w:rPr>
              <w:t>2.项目负责人持有政府采购代理从业人员培训证书的得2分。</w:t>
            </w:r>
          </w:p>
          <w:p>
            <w:pPr>
              <w:spacing w:line="240" w:lineRule="atLeast"/>
              <w:jc w:val="left"/>
              <w:rPr>
                <w:rFonts w:ascii="宋体" w:hAnsi="宋体"/>
                <w:color w:val="000000" w:themeColor="text1"/>
                <w:sz w:val="21"/>
                <w:szCs w:val="21"/>
              </w:rPr>
            </w:pPr>
            <w:r>
              <w:rPr>
                <w:rFonts w:hint="eastAsia" w:ascii="宋体" w:hAnsi="宋体"/>
                <w:color w:val="000000" w:themeColor="text1"/>
                <w:sz w:val="21"/>
                <w:szCs w:val="21"/>
              </w:rPr>
              <w:t>3.拟派本项目的专职服务人员必须是供应商本单位人员且持有的政府采购代理从业人员培训证书，提供专职服务人员2人的得1分，在此基础上, 每增加1名得1分，总分3分。</w:t>
            </w:r>
          </w:p>
        </w:tc>
        <w:tc>
          <w:tcPr>
            <w:tcW w:w="2115" w:type="dxa"/>
            <w:vAlign w:val="center"/>
          </w:tcPr>
          <w:p>
            <w:pPr>
              <w:spacing w:line="240" w:lineRule="atLeast"/>
              <w:rPr>
                <w:rFonts w:ascii="宋体" w:hAnsi="宋体"/>
                <w:color w:val="000000" w:themeColor="text1"/>
                <w:sz w:val="21"/>
                <w:szCs w:val="21"/>
              </w:rPr>
            </w:pPr>
            <w:r>
              <w:rPr>
                <w:rFonts w:ascii="仿宋" w:hAnsi="仿宋" w:eastAsia="仿宋" w:cs="仿宋"/>
                <w:color w:val="000000" w:themeColor="text1"/>
                <w:sz w:val="24"/>
                <w:szCs w:val="24"/>
              </w:rPr>
              <w:t>1</w:t>
            </w:r>
            <w:r>
              <w:rPr>
                <w:rFonts w:ascii="宋体" w:hAnsi="宋体"/>
                <w:color w:val="000000" w:themeColor="text1"/>
                <w:sz w:val="21"/>
                <w:szCs w:val="21"/>
              </w:rPr>
              <w:t>.提供项目负责人履历，并加盖供应商公章。</w:t>
            </w:r>
          </w:p>
          <w:p>
            <w:pPr>
              <w:spacing w:line="240" w:lineRule="atLeast"/>
              <w:rPr>
                <w:rFonts w:ascii="宋体" w:hAnsi="宋体"/>
                <w:color w:val="000000" w:themeColor="text1"/>
                <w:sz w:val="21"/>
                <w:szCs w:val="21"/>
              </w:rPr>
            </w:pPr>
            <w:r>
              <w:rPr>
                <w:rFonts w:ascii="宋体" w:hAnsi="宋体"/>
                <w:color w:val="000000" w:themeColor="text1"/>
                <w:sz w:val="21"/>
                <w:szCs w:val="21"/>
              </w:rPr>
              <w:t>2.提供证书复印件并加盖供应商公章。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709" w:type="dxa"/>
            <w:vAlign w:val="center"/>
          </w:tcPr>
          <w:p>
            <w:pPr>
              <w:spacing w:line="240" w:lineRule="atLeast"/>
              <w:ind w:firstLine="28"/>
              <w:jc w:val="center"/>
              <w:rPr>
                <w:rFonts w:ascii="宋体" w:hAnsi="宋体"/>
                <w:sz w:val="21"/>
                <w:szCs w:val="21"/>
              </w:rPr>
            </w:pPr>
          </w:p>
        </w:tc>
        <w:tc>
          <w:tcPr>
            <w:tcW w:w="1134" w:type="dxa"/>
            <w:vMerge w:val="continue"/>
            <w:vAlign w:val="center"/>
          </w:tcPr>
          <w:p>
            <w:pPr>
              <w:spacing w:line="240" w:lineRule="atLeast"/>
              <w:ind w:firstLine="28"/>
              <w:jc w:val="center"/>
              <w:rPr>
                <w:rFonts w:ascii="宋体" w:hAnsi="宋体"/>
                <w:color w:val="000000" w:themeColor="text1"/>
                <w:sz w:val="21"/>
                <w:szCs w:val="21"/>
              </w:rPr>
            </w:pPr>
          </w:p>
        </w:tc>
        <w:tc>
          <w:tcPr>
            <w:tcW w:w="992" w:type="dxa"/>
            <w:vAlign w:val="center"/>
          </w:tcPr>
          <w:p>
            <w:pPr>
              <w:spacing w:line="240" w:lineRule="atLeast"/>
              <w:jc w:val="center"/>
              <w:rPr>
                <w:rFonts w:ascii="宋体" w:hAnsi="宋体"/>
                <w:color w:val="000000" w:themeColor="text1"/>
                <w:sz w:val="21"/>
                <w:szCs w:val="21"/>
              </w:rPr>
            </w:pPr>
            <w:r>
              <w:rPr>
                <w:rFonts w:hint="eastAsia" w:ascii="仿宋" w:hAnsi="仿宋" w:eastAsia="仿宋" w:cs="仿宋"/>
                <w:color w:val="000000" w:themeColor="text1"/>
                <w:sz w:val="24"/>
                <w:szCs w:val="24"/>
              </w:rPr>
              <w:t>5分</w:t>
            </w:r>
          </w:p>
        </w:tc>
        <w:tc>
          <w:tcPr>
            <w:tcW w:w="4678" w:type="dxa"/>
            <w:vAlign w:val="center"/>
          </w:tcPr>
          <w:p>
            <w:pPr>
              <w:spacing w:line="240" w:lineRule="atLeast"/>
              <w:jc w:val="left"/>
              <w:rPr>
                <w:rFonts w:ascii="宋体" w:hAnsi="宋体"/>
                <w:color w:val="000000" w:themeColor="text1"/>
                <w:sz w:val="21"/>
                <w:szCs w:val="21"/>
              </w:rPr>
            </w:pPr>
            <w:r>
              <w:rPr>
                <w:rFonts w:hint="eastAsia" w:ascii="仿宋" w:hAnsi="仿宋" w:eastAsia="仿宋" w:cs="仿宋"/>
                <w:color w:val="000000" w:themeColor="text1"/>
                <w:sz w:val="24"/>
                <w:szCs w:val="24"/>
              </w:rPr>
              <w:t>服务评价</w:t>
            </w:r>
            <w:r>
              <w:rPr>
                <w:rFonts w:hint="eastAsia" w:ascii="宋体" w:hAnsi="宋体"/>
                <w:color w:val="000000" w:themeColor="text1"/>
                <w:sz w:val="21"/>
                <w:szCs w:val="21"/>
              </w:rPr>
              <w:t>（5分）</w:t>
            </w:r>
          </w:p>
          <w:p>
            <w:pPr>
              <w:spacing w:line="240" w:lineRule="atLeast"/>
              <w:jc w:val="left"/>
              <w:rPr>
                <w:rFonts w:ascii="宋体" w:hAnsi="宋体"/>
                <w:color w:val="000000" w:themeColor="text1"/>
                <w:sz w:val="21"/>
                <w:szCs w:val="21"/>
              </w:rPr>
            </w:pPr>
            <w:r>
              <w:rPr>
                <w:rFonts w:ascii="宋体" w:hAnsi="宋体"/>
                <w:color w:val="000000" w:themeColor="text1"/>
                <w:sz w:val="21"/>
                <w:szCs w:val="21"/>
              </w:rPr>
              <w:t>2021年1月1日起至今，在供应商已代理的政府采购项目中，获得采购人满意评价的，一份满意评价得0.5分，满分</w:t>
            </w:r>
            <w:r>
              <w:rPr>
                <w:rFonts w:hint="eastAsia" w:ascii="宋体" w:hAnsi="宋体"/>
                <w:color w:val="000000" w:themeColor="text1"/>
                <w:sz w:val="21"/>
                <w:szCs w:val="21"/>
              </w:rPr>
              <w:t>5分。</w:t>
            </w:r>
          </w:p>
        </w:tc>
        <w:tc>
          <w:tcPr>
            <w:tcW w:w="2115" w:type="dxa"/>
            <w:vAlign w:val="center"/>
          </w:tcPr>
          <w:p>
            <w:pPr>
              <w:spacing w:line="240" w:lineRule="atLeast"/>
              <w:rPr>
                <w:rFonts w:ascii="宋体" w:hAnsi="宋体"/>
                <w:color w:val="000000" w:themeColor="text1"/>
                <w:sz w:val="21"/>
                <w:szCs w:val="21"/>
              </w:rPr>
            </w:pPr>
            <w:r>
              <w:rPr>
                <w:rFonts w:hint="eastAsia" w:ascii="宋体" w:hAnsi="宋体"/>
                <w:color w:val="000000" w:themeColor="text1"/>
                <w:sz w:val="21"/>
                <w:szCs w:val="21"/>
              </w:rPr>
              <w:t>服务满意评价必须由采购人单位出具，形式包括但不限于服务评价表、荣誉证书、感谢信、表扬信等。提供相关证明材料复印件。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709" w:type="dxa"/>
            <w:vMerge w:val="restart"/>
            <w:vAlign w:val="center"/>
          </w:tcPr>
          <w:p>
            <w:pPr>
              <w:spacing w:line="240" w:lineRule="atLeast"/>
              <w:ind w:firstLine="28"/>
              <w:jc w:val="center"/>
              <w:rPr>
                <w:rFonts w:ascii="宋体" w:hAnsi="宋体"/>
                <w:sz w:val="21"/>
                <w:szCs w:val="21"/>
              </w:rPr>
            </w:pPr>
            <w:r>
              <w:rPr>
                <w:rFonts w:hint="eastAsia" w:ascii="宋体" w:hAnsi="宋体"/>
                <w:sz w:val="21"/>
                <w:szCs w:val="21"/>
              </w:rPr>
              <w:t>3</w:t>
            </w:r>
          </w:p>
        </w:tc>
        <w:tc>
          <w:tcPr>
            <w:tcW w:w="1134" w:type="dxa"/>
            <w:vMerge w:val="continue"/>
            <w:vAlign w:val="center"/>
          </w:tcPr>
          <w:p>
            <w:pPr>
              <w:spacing w:line="240" w:lineRule="atLeast"/>
              <w:ind w:firstLine="28"/>
              <w:jc w:val="center"/>
              <w:rPr>
                <w:rFonts w:ascii="宋体" w:hAnsi="宋体"/>
                <w:color w:val="000000" w:themeColor="text1"/>
                <w:sz w:val="21"/>
                <w:szCs w:val="21"/>
              </w:rPr>
            </w:pPr>
          </w:p>
        </w:tc>
        <w:tc>
          <w:tcPr>
            <w:tcW w:w="992" w:type="dxa"/>
            <w:vAlign w:val="center"/>
          </w:tcPr>
          <w:p>
            <w:pPr>
              <w:spacing w:line="240" w:lineRule="atLeast"/>
              <w:jc w:val="center"/>
              <w:rPr>
                <w:rFonts w:ascii="宋体" w:hAnsi="宋体"/>
                <w:color w:val="000000" w:themeColor="text1"/>
                <w:sz w:val="21"/>
                <w:szCs w:val="21"/>
              </w:rPr>
            </w:pPr>
            <w:r>
              <w:rPr>
                <w:rFonts w:ascii="宋体" w:hAnsi="宋体"/>
                <w:color w:val="000000" w:themeColor="text1"/>
                <w:sz w:val="21"/>
                <w:szCs w:val="21"/>
              </w:rPr>
              <w:t>30</w:t>
            </w:r>
            <w:r>
              <w:rPr>
                <w:rFonts w:hint="eastAsia" w:ascii="宋体" w:hAnsi="宋体"/>
                <w:color w:val="000000" w:themeColor="text1"/>
                <w:sz w:val="21"/>
                <w:szCs w:val="21"/>
              </w:rPr>
              <w:t>分</w:t>
            </w:r>
          </w:p>
        </w:tc>
        <w:tc>
          <w:tcPr>
            <w:tcW w:w="4678" w:type="dxa"/>
            <w:vAlign w:val="center"/>
          </w:tcPr>
          <w:p>
            <w:pPr>
              <w:spacing w:line="240" w:lineRule="atLeast"/>
              <w:jc w:val="left"/>
              <w:rPr>
                <w:rFonts w:ascii="宋体" w:hAnsi="宋体"/>
                <w:color w:val="000000" w:themeColor="text1"/>
                <w:sz w:val="21"/>
                <w:szCs w:val="21"/>
              </w:rPr>
            </w:pPr>
            <w:r>
              <w:rPr>
                <w:rFonts w:hint="eastAsia" w:ascii="宋体" w:hAnsi="宋体"/>
                <w:color w:val="000000" w:themeColor="text1"/>
                <w:sz w:val="21"/>
                <w:szCs w:val="21"/>
              </w:rPr>
              <w:t>业绩（30分）</w:t>
            </w:r>
          </w:p>
          <w:p>
            <w:pPr>
              <w:spacing w:line="240" w:lineRule="atLeast"/>
              <w:jc w:val="left"/>
              <w:rPr>
                <w:rFonts w:ascii="宋体" w:hAnsi="宋体"/>
                <w:color w:val="000000" w:themeColor="text1"/>
                <w:sz w:val="21"/>
                <w:szCs w:val="21"/>
              </w:rPr>
            </w:pPr>
            <w:r>
              <w:rPr>
                <w:rFonts w:hint="eastAsia" w:ascii="宋体" w:hAnsi="宋体"/>
                <w:color w:val="000000" w:themeColor="text1"/>
                <w:sz w:val="21"/>
                <w:szCs w:val="21"/>
              </w:rPr>
              <w:t>1. 2021年1月1日起至今，供应商代理政府采购项目数量达到100个的得</w:t>
            </w:r>
            <w:r>
              <w:rPr>
                <w:rFonts w:hint="eastAsia" w:ascii="宋体" w:hAnsi="宋体"/>
                <w:color w:val="auto"/>
                <w:sz w:val="21"/>
                <w:szCs w:val="21"/>
                <w:lang w:val="en-US" w:eastAsia="zh-CN"/>
              </w:rPr>
              <w:t>4</w:t>
            </w:r>
            <w:r>
              <w:rPr>
                <w:rFonts w:hint="eastAsia" w:ascii="宋体" w:hAnsi="宋体"/>
                <w:color w:val="auto"/>
                <w:sz w:val="21"/>
                <w:szCs w:val="21"/>
              </w:rPr>
              <w:t>分，每增加10个加</w:t>
            </w:r>
            <w:r>
              <w:rPr>
                <w:rFonts w:hint="eastAsia" w:ascii="宋体" w:hAnsi="宋体"/>
                <w:color w:val="auto"/>
                <w:sz w:val="21"/>
                <w:szCs w:val="21"/>
                <w:lang w:val="en-US" w:eastAsia="zh-CN"/>
              </w:rPr>
              <w:t>1</w:t>
            </w:r>
            <w:r>
              <w:rPr>
                <w:rFonts w:hint="eastAsia" w:ascii="宋体" w:hAnsi="宋体"/>
                <w:color w:val="000000" w:themeColor="text1"/>
                <w:sz w:val="21"/>
                <w:szCs w:val="21"/>
              </w:rPr>
              <w:t>分，该项满分8分。</w:t>
            </w:r>
          </w:p>
          <w:p>
            <w:pPr>
              <w:spacing w:line="240" w:lineRule="atLeast"/>
              <w:jc w:val="left"/>
              <w:rPr>
                <w:rFonts w:ascii="宋体" w:hAnsi="宋体"/>
                <w:color w:val="000000" w:themeColor="text1"/>
                <w:sz w:val="15"/>
                <w:szCs w:val="15"/>
                <w14:textFill>
                  <w14:solidFill>
                    <w14:schemeClr w14:val="tx1"/>
                  </w14:solidFill>
                </w14:textFill>
              </w:rPr>
            </w:pPr>
            <w:bookmarkStart w:id="120" w:name="_GoBack"/>
            <w:r>
              <w:rPr>
                <w:rFonts w:hint="eastAsia" w:ascii="宋体" w:hAnsi="宋体"/>
                <w:color w:val="000000" w:themeColor="text1"/>
                <w:sz w:val="21"/>
                <w:szCs w:val="21"/>
                <w14:textFill>
                  <w14:solidFill>
                    <w14:schemeClr w14:val="tx1"/>
                  </w14:solidFill>
                </w14:textFill>
              </w:rPr>
              <w:t>2.2021年1月1日起至今，供应商有展会展览展陈类或档案专用设施设备类或信息化类项目业绩的，每个加1分，最多加5分。</w:t>
            </w:r>
          </w:p>
          <w:bookmarkEnd w:id="120"/>
          <w:p>
            <w:pPr>
              <w:spacing w:line="240" w:lineRule="atLeast"/>
              <w:jc w:val="left"/>
              <w:rPr>
                <w:rFonts w:ascii="宋体" w:hAnsi="宋体"/>
                <w:color w:val="FF0000"/>
                <w:sz w:val="21"/>
                <w:szCs w:val="21"/>
              </w:rPr>
            </w:pPr>
            <w:r>
              <w:rPr>
                <w:rFonts w:hint="eastAsia" w:ascii="宋体" w:hAnsi="宋体"/>
                <w:color w:val="000000" w:themeColor="text1"/>
                <w:sz w:val="21"/>
                <w:szCs w:val="21"/>
              </w:rPr>
              <w:t>3.2021年1月1日起至今，供应商给不同的采购人进行政府采购代理，且采购人达到15家的得1分，每增加1家加0.5分，该项满分9分。</w:t>
            </w:r>
          </w:p>
          <w:p>
            <w:pPr>
              <w:spacing w:line="240" w:lineRule="atLeast"/>
              <w:jc w:val="left"/>
              <w:rPr>
                <w:rFonts w:ascii="宋体" w:hAnsi="宋体"/>
                <w:color w:val="FF0000"/>
                <w:sz w:val="21"/>
                <w:szCs w:val="21"/>
              </w:rPr>
            </w:pPr>
            <w:r>
              <w:rPr>
                <w:rFonts w:hint="eastAsia" w:ascii="宋体" w:hAnsi="宋体"/>
                <w:color w:val="000000" w:themeColor="text1"/>
                <w:sz w:val="21"/>
                <w:szCs w:val="21"/>
              </w:rPr>
              <w:t>4. 2021年1月1日起至今，供应商累计代理采购预算金额达到1亿元得2分，在此基础上每增加5000万加1分，该项满分</w:t>
            </w:r>
            <w:r>
              <w:rPr>
                <w:rFonts w:ascii="宋体" w:hAnsi="宋体"/>
                <w:color w:val="000000" w:themeColor="text1"/>
                <w:sz w:val="21"/>
                <w:szCs w:val="21"/>
              </w:rPr>
              <w:t>8</w:t>
            </w:r>
            <w:r>
              <w:rPr>
                <w:rFonts w:hint="eastAsia" w:ascii="宋体" w:hAnsi="宋体"/>
                <w:color w:val="000000" w:themeColor="text1"/>
                <w:sz w:val="21"/>
                <w:szCs w:val="21"/>
              </w:rPr>
              <w:t>分。</w:t>
            </w:r>
          </w:p>
        </w:tc>
        <w:tc>
          <w:tcPr>
            <w:tcW w:w="2115" w:type="dxa"/>
            <w:vAlign w:val="center"/>
          </w:tcPr>
          <w:p>
            <w:pPr>
              <w:spacing w:line="240" w:lineRule="atLeast"/>
              <w:rPr>
                <w:rFonts w:ascii="宋体" w:hAnsi="宋体"/>
                <w:color w:val="000000" w:themeColor="text1"/>
                <w:sz w:val="21"/>
                <w:szCs w:val="21"/>
              </w:rPr>
            </w:pPr>
            <w:r>
              <w:rPr>
                <w:rFonts w:hint="eastAsia" w:ascii="宋体" w:hAnsi="宋体"/>
                <w:color w:val="000000" w:themeColor="text1"/>
                <w:sz w:val="21"/>
                <w:szCs w:val="21"/>
              </w:rPr>
              <w:t>须提供财政部门下达的政府采购项目计划表以及项目上网公示截图加盖公章，时间以政府采购项目计划表分配时间为准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trPr>
        <w:tc>
          <w:tcPr>
            <w:tcW w:w="709" w:type="dxa"/>
            <w:vMerge w:val="continue"/>
            <w:vAlign w:val="center"/>
          </w:tcPr>
          <w:p>
            <w:pPr>
              <w:spacing w:line="240" w:lineRule="atLeast"/>
              <w:ind w:firstLine="28"/>
              <w:jc w:val="center"/>
              <w:rPr>
                <w:rFonts w:ascii="宋体" w:hAnsi="宋体"/>
                <w:color w:val="0000FF"/>
                <w:sz w:val="21"/>
                <w:szCs w:val="21"/>
              </w:rPr>
            </w:pPr>
          </w:p>
        </w:tc>
        <w:tc>
          <w:tcPr>
            <w:tcW w:w="1134" w:type="dxa"/>
            <w:vMerge w:val="continue"/>
            <w:vAlign w:val="center"/>
          </w:tcPr>
          <w:p>
            <w:pPr>
              <w:spacing w:line="240" w:lineRule="atLeast"/>
              <w:ind w:firstLine="28"/>
              <w:jc w:val="center"/>
              <w:rPr>
                <w:rFonts w:ascii="宋体" w:hAnsi="宋体"/>
                <w:color w:val="000000" w:themeColor="text1"/>
                <w:sz w:val="21"/>
                <w:szCs w:val="21"/>
              </w:rPr>
            </w:pPr>
          </w:p>
        </w:tc>
        <w:tc>
          <w:tcPr>
            <w:tcW w:w="992" w:type="dxa"/>
            <w:vAlign w:val="center"/>
          </w:tcPr>
          <w:p>
            <w:pPr>
              <w:spacing w:line="240" w:lineRule="atLeast"/>
              <w:jc w:val="center"/>
              <w:rPr>
                <w:rFonts w:ascii="宋体" w:hAnsi="宋体"/>
                <w:color w:val="000000" w:themeColor="text1"/>
                <w:sz w:val="21"/>
                <w:szCs w:val="21"/>
              </w:rPr>
            </w:pPr>
            <w:r>
              <w:rPr>
                <w:rFonts w:hint="eastAsia" w:ascii="宋体" w:hAnsi="宋体"/>
                <w:color w:val="000000" w:themeColor="text1"/>
                <w:sz w:val="21"/>
                <w:szCs w:val="21"/>
              </w:rPr>
              <w:t>5分</w:t>
            </w:r>
          </w:p>
        </w:tc>
        <w:tc>
          <w:tcPr>
            <w:tcW w:w="4678" w:type="dxa"/>
            <w:vAlign w:val="center"/>
          </w:tcPr>
          <w:p>
            <w:pPr>
              <w:spacing w:line="240" w:lineRule="atLeast"/>
              <w:jc w:val="left"/>
              <w:rPr>
                <w:rFonts w:ascii="宋体" w:hAnsi="宋体"/>
                <w:color w:val="000000" w:themeColor="text1"/>
                <w:sz w:val="21"/>
                <w:szCs w:val="21"/>
              </w:rPr>
            </w:pPr>
            <w:r>
              <w:rPr>
                <w:rFonts w:hint="eastAsia" w:ascii="宋体" w:hAnsi="宋体"/>
                <w:color w:val="000000" w:themeColor="text1"/>
                <w:sz w:val="21"/>
                <w:szCs w:val="21"/>
              </w:rPr>
              <w:t>办公场地（5分）</w:t>
            </w:r>
          </w:p>
          <w:p>
            <w:pPr>
              <w:spacing w:line="240" w:lineRule="atLeast"/>
              <w:jc w:val="left"/>
              <w:rPr>
                <w:rFonts w:ascii="宋体" w:hAnsi="宋体"/>
                <w:color w:val="000000" w:themeColor="text1"/>
                <w:sz w:val="21"/>
                <w:szCs w:val="21"/>
              </w:rPr>
            </w:pPr>
            <w:r>
              <w:rPr>
                <w:rFonts w:hint="eastAsia" w:ascii="宋体" w:hAnsi="宋体"/>
                <w:color w:val="000000" w:themeColor="text1"/>
                <w:sz w:val="21"/>
                <w:szCs w:val="21"/>
              </w:rPr>
              <w:t>供应商具有相应的开评标场地，根据供应商提供的场地的情况，从面积、环境、交通便利性、评标场所是否具有监控录音录像设备等几个方面进行评审：</w:t>
            </w:r>
          </w:p>
          <w:p>
            <w:pPr>
              <w:spacing w:line="240" w:lineRule="atLeast"/>
              <w:jc w:val="left"/>
              <w:rPr>
                <w:rFonts w:ascii="宋体" w:hAnsi="宋体"/>
                <w:color w:val="000000" w:themeColor="text1"/>
                <w:sz w:val="21"/>
                <w:szCs w:val="21"/>
              </w:rPr>
            </w:pPr>
            <w:r>
              <w:rPr>
                <w:rFonts w:hint="eastAsia" w:ascii="宋体" w:hAnsi="宋体"/>
                <w:color w:val="000000" w:themeColor="text1"/>
                <w:sz w:val="21"/>
                <w:szCs w:val="21"/>
              </w:rPr>
              <w:t>优（具有专门开评标室、监控完备、交通便利、环境洁净）得5分；</w:t>
            </w:r>
          </w:p>
          <w:p>
            <w:pPr>
              <w:spacing w:line="240" w:lineRule="atLeast"/>
              <w:jc w:val="left"/>
              <w:rPr>
                <w:rFonts w:ascii="宋体" w:hAnsi="宋体"/>
                <w:color w:val="000000" w:themeColor="text1"/>
                <w:sz w:val="21"/>
                <w:szCs w:val="21"/>
              </w:rPr>
            </w:pPr>
            <w:r>
              <w:rPr>
                <w:rFonts w:hint="eastAsia" w:ascii="宋体" w:hAnsi="宋体"/>
                <w:color w:val="000000" w:themeColor="text1"/>
                <w:sz w:val="21"/>
                <w:szCs w:val="21"/>
              </w:rPr>
              <w:t>良（具有专门开评标室、监控完备、交通较便利、环境较洁净）得3分；</w:t>
            </w:r>
          </w:p>
          <w:p>
            <w:pPr>
              <w:spacing w:line="240" w:lineRule="atLeast"/>
              <w:jc w:val="left"/>
              <w:rPr>
                <w:rFonts w:ascii="宋体" w:hAnsi="宋体"/>
                <w:color w:val="000000" w:themeColor="text1"/>
                <w:sz w:val="21"/>
                <w:szCs w:val="21"/>
              </w:rPr>
            </w:pPr>
            <w:r>
              <w:rPr>
                <w:rFonts w:hint="eastAsia" w:ascii="宋体" w:hAnsi="宋体"/>
                <w:color w:val="000000" w:themeColor="text1"/>
                <w:sz w:val="21"/>
                <w:szCs w:val="21"/>
              </w:rPr>
              <w:t>差（具有专门开评标室、无监控完备、交通不便利、环境较差）得1分；</w:t>
            </w:r>
          </w:p>
          <w:p>
            <w:pPr>
              <w:spacing w:line="240" w:lineRule="atLeast"/>
              <w:jc w:val="left"/>
              <w:rPr>
                <w:rFonts w:ascii="宋体" w:hAnsi="宋体"/>
                <w:color w:val="000000" w:themeColor="text1"/>
                <w:sz w:val="21"/>
                <w:szCs w:val="21"/>
              </w:rPr>
            </w:pPr>
            <w:r>
              <w:rPr>
                <w:rFonts w:hint="eastAsia" w:ascii="宋体" w:hAnsi="宋体"/>
                <w:color w:val="000000" w:themeColor="text1"/>
                <w:sz w:val="21"/>
                <w:szCs w:val="21"/>
              </w:rPr>
              <w:t>未提供的得0分。</w:t>
            </w:r>
          </w:p>
        </w:tc>
        <w:tc>
          <w:tcPr>
            <w:tcW w:w="2115" w:type="dxa"/>
            <w:vAlign w:val="center"/>
          </w:tcPr>
          <w:p>
            <w:pPr>
              <w:spacing w:line="240" w:lineRule="atLeast"/>
              <w:rPr>
                <w:rFonts w:ascii="宋体" w:hAnsi="宋体"/>
                <w:color w:val="000000" w:themeColor="text1"/>
                <w:sz w:val="21"/>
                <w:szCs w:val="21"/>
              </w:rPr>
            </w:pPr>
            <w:r>
              <w:rPr>
                <w:rFonts w:hint="eastAsia" w:ascii="宋体" w:hAnsi="宋体"/>
                <w:color w:val="000000" w:themeColor="text1"/>
                <w:sz w:val="21"/>
                <w:szCs w:val="21"/>
              </w:rPr>
              <w:t>所提供场地实景及设施照片、房屋产权证书复印件或房屋租赁合同等证明材料复印件。</w:t>
            </w:r>
          </w:p>
        </w:tc>
      </w:tr>
    </w:tbl>
    <w:p>
      <w:pPr>
        <w:snapToGrid w:val="0"/>
        <w:spacing w:line="360" w:lineRule="auto"/>
        <w:ind w:firstLine="465"/>
        <w:rPr>
          <w:rFonts w:ascii="宋体" w:hAnsi="宋体"/>
          <w:bCs/>
          <w:sz w:val="24"/>
          <w:szCs w:val="24"/>
        </w:rPr>
      </w:pPr>
      <w:r>
        <w:rPr>
          <w:rFonts w:hint="eastAsia" w:ascii="宋体" w:hAnsi="宋体"/>
          <w:bCs/>
          <w:sz w:val="24"/>
          <w:szCs w:val="24"/>
        </w:rPr>
        <w:t>注：采购人将在重庆市政府网上查询供应商提供的项目信息，若供应商提供的资料与采购人查询结果不符，视为响应无效。</w:t>
      </w:r>
    </w:p>
    <w:p>
      <w:pPr>
        <w:snapToGrid w:val="0"/>
        <w:spacing w:line="360" w:lineRule="auto"/>
        <w:ind w:firstLine="465"/>
        <w:rPr>
          <w:rFonts w:ascii="宋体" w:hAnsi="宋体"/>
          <w:b/>
          <w:sz w:val="24"/>
          <w:szCs w:val="24"/>
        </w:rPr>
      </w:pPr>
      <w:r>
        <w:rPr>
          <w:rFonts w:hint="eastAsia" w:ascii="宋体" w:hAnsi="宋体"/>
          <w:b/>
          <w:sz w:val="24"/>
          <w:szCs w:val="24"/>
        </w:rPr>
        <w:t>说明：</w:t>
      </w:r>
      <w:r>
        <w:rPr>
          <w:rFonts w:hint="eastAsia" w:ascii="宋体" w:hAnsi="宋体"/>
          <w:sz w:val="24"/>
          <w:szCs w:val="24"/>
        </w:rPr>
        <w:t>磋商小组认为，排名在前面的成交供应商候选人的最后报价或者某些分项报价明显不合理或者低于成本，有可能影响服务质量和不能诚信履约的，将要求其在规定的期限内提供书面文件予以解释说明，并提交相关证明材料；否则，磋商小组可以取消该成交供应商候选人资格，按顺序由排在后一位的成交供应商候选人递补，以此类推。</w:t>
      </w:r>
    </w:p>
    <w:p>
      <w:pPr>
        <w:pStyle w:val="4"/>
        <w:spacing w:line="360" w:lineRule="auto"/>
        <w:ind w:firstLine="482" w:firstLineChars="200"/>
        <w:rPr>
          <w:rFonts w:ascii="宋体" w:hAnsi="宋体"/>
          <w:sz w:val="24"/>
          <w:szCs w:val="24"/>
        </w:rPr>
      </w:pPr>
      <w:bookmarkStart w:id="62" w:name="_Toc101697404"/>
      <w:r>
        <w:rPr>
          <w:rFonts w:hint="eastAsia" w:ascii="宋体" w:hAnsi="宋体"/>
          <w:sz w:val="24"/>
          <w:szCs w:val="24"/>
        </w:rPr>
        <w:t>三、无效响应</w:t>
      </w:r>
      <w:bookmarkEnd w:id="62"/>
    </w:p>
    <w:p>
      <w:pPr>
        <w:snapToGrid w:val="0"/>
        <w:spacing w:line="360" w:lineRule="auto"/>
        <w:ind w:firstLine="465"/>
        <w:rPr>
          <w:rFonts w:ascii="宋体" w:hAnsi="宋体"/>
          <w:sz w:val="24"/>
          <w:szCs w:val="24"/>
        </w:rPr>
      </w:pPr>
      <w:r>
        <w:rPr>
          <w:rFonts w:hint="eastAsia" w:ascii="宋体" w:hAnsi="宋体"/>
          <w:sz w:val="24"/>
          <w:szCs w:val="24"/>
        </w:rPr>
        <w:t>供应商发生以下条款情况之一者，视为无效响应：</w:t>
      </w:r>
    </w:p>
    <w:p>
      <w:pPr>
        <w:snapToGrid w:val="0"/>
        <w:spacing w:line="360" w:lineRule="auto"/>
        <w:ind w:firstLine="465"/>
        <w:rPr>
          <w:rFonts w:ascii="宋体" w:hAnsi="宋体"/>
          <w:sz w:val="24"/>
          <w:szCs w:val="24"/>
        </w:rPr>
      </w:pPr>
      <w:r>
        <w:rPr>
          <w:rFonts w:hint="eastAsia" w:ascii="宋体" w:hAnsi="宋体"/>
          <w:sz w:val="24"/>
          <w:szCs w:val="24"/>
        </w:rPr>
        <w:t>（一）供应商不符合规定的基本资格条件或特定资格条件的；</w:t>
      </w:r>
    </w:p>
    <w:p>
      <w:pPr>
        <w:snapToGrid w:val="0"/>
        <w:spacing w:line="360" w:lineRule="auto"/>
        <w:ind w:firstLine="465"/>
        <w:rPr>
          <w:rFonts w:ascii="宋体" w:hAnsi="宋体"/>
          <w:sz w:val="24"/>
          <w:szCs w:val="24"/>
        </w:rPr>
      </w:pPr>
      <w:r>
        <w:rPr>
          <w:rFonts w:hint="eastAsia" w:ascii="宋体" w:hAnsi="宋体"/>
          <w:sz w:val="24"/>
          <w:szCs w:val="24"/>
        </w:rPr>
        <w:t>（二）供应商的法定代表人或其授权代表未参加磋商的；</w:t>
      </w:r>
    </w:p>
    <w:p>
      <w:pPr>
        <w:snapToGrid w:val="0"/>
        <w:spacing w:line="360" w:lineRule="auto"/>
        <w:ind w:firstLine="465"/>
        <w:rPr>
          <w:rFonts w:ascii="宋体" w:hAnsi="宋体"/>
          <w:sz w:val="24"/>
          <w:szCs w:val="24"/>
        </w:rPr>
      </w:pPr>
      <w:r>
        <w:rPr>
          <w:rFonts w:hint="eastAsia" w:ascii="宋体" w:hAnsi="宋体"/>
          <w:sz w:val="24"/>
          <w:szCs w:val="24"/>
        </w:rPr>
        <w:t>（三）供应商响应文件未按竞争性磋商文件要求签字、盖章的；</w:t>
      </w:r>
    </w:p>
    <w:p>
      <w:pPr>
        <w:snapToGrid w:val="0"/>
        <w:spacing w:line="360" w:lineRule="auto"/>
        <w:ind w:firstLine="465"/>
        <w:rPr>
          <w:rFonts w:ascii="宋体" w:hAnsi="宋体"/>
          <w:sz w:val="24"/>
          <w:szCs w:val="24"/>
        </w:rPr>
      </w:pPr>
      <w:r>
        <w:rPr>
          <w:rFonts w:hint="eastAsia" w:ascii="宋体" w:hAnsi="宋体"/>
          <w:sz w:val="24"/>
          <w:szCs w:val="24"/>
        </w:rPr>
        <w:t>（四）单位负责人为同一人或者存在直接控股、管理关系的不同供应商，参加同一合同项下的政府采购活动的；</w:t>
      </w:r>
    </w:p>
    <w:p>
      <w:pPr>
        <w:snapToGrid w:val="0"/>
        <w:spacing w:line="360" w:lineRule="auto"/>
        <w:ind w:firstLine="480" w:firstLineChars="200"/>
        <w:rPr>
          <w:rFonts w:ascii="宋体" w:hAnsi="宋体"/>
          <w:sz w:val="24"/>
          <w:szCs w:val="24"/>
        </w:rPr>
      </w:pPr>
      <w:r>
        <w:rPr>
          <w:rFonts w:hint="eastAsia" w:ascii="宋体" w:hAnsi="宋体"/>
          <w:sz w:val="24"/>
          <w:szCs w:val="24"/>
        </w:rPr>
        <w:t>（五）供应商的服务时间、服务质保期及磋商有效期不满足竞争性磋商文件要求的；</w:t>
      </w:r>
    </w:p>
    <w:p>
      <w:pPr>
        <w:snapToGrid w:val="0"/>
        <w:spacing w:line="360" w:lineRule="auto"/>
        <w:ind w:firstLine="465"/>
        <w:rPr>
          <w:rFonts w:ascii="宋体" w:hAnsi="宋体"/>
          <w:sz w:val="24"/>
          <w:szCs w:val="24"/>
        </w:rPr>
      </w:pPr>
      <w:r>
        <w:rPr>
          <w:rFonts w:hint="eastAsia" w:ascii="宋体" w:hAnsi="宋体"/>
          <w:sz w:val="24"/>
          <w:szCs w:val="24"/>
        </w:rPr>
        <w:t>（六）供应商响应文件内容有与国家现行法律法规相违背的内容，或附有采购人无法接受的条件。</w:t>
      </w:r>
    </w:p>
    <w:p>
      <w:pPr>
        <w:snapToGrid w:val="0"/>
        <w:spacing w:line="360" w:lineRule="auto"/>
        <w:ind w:firstLine="465"/>
        <w:rPr>
          <w:rFonts w:ascii="宋体" w:hAnsi="宋体"/>
          <w:sz w:val="24"/>
          <w:szCs w:val="24"/>
        </w:rPr>
      </w:pPr>
      <w:r>
        <w:rPr>
          <w:rFonts w:hint="eastAsia" w:ascii="宋体" w:hAnsi="宋体"/>
          <w:sz w:val="24"/>
          <w:szCs w:val="24"/>
        </w:rPr>
        <w:t>（七）法律、法规和竞争性磋商文件规定的其他无效情形。</w:t>
      </w:r>
    </w:p>
    <w:p>
      <w:pPr>
        <w:pStyle w:val="4"/>
        <w:spacing w:line="360" w:lineRule="auto"/>
        <w:ind w:firstLine="482" w:firstLineChars="200"/>
        <w:rPr>
          <w:rFonts w:ascii="宋体" w:hAnsi="宋体"/>
          <w:sz w:val="24"/>
          <w:szCs w:val="24"/>
        </w:rPr>
      </w:pPr>
      <w:bookmarkStart w:id="63" w:name="_Toc101697405"/>
      <w:r>
        <w:rPr>
          <w:rFonts w:hint="eastAsia" w:ascii="宋体" w:hAnsi="宋体"/>
          <w:sz w:val="24"/>
          <w:szCs w:val="24"/>
        </w:rPr>
        <w:t>四、</w:t>
      </w:r>
      <w:bookmarkEnd w:id="60"/>
      <w:bookmarkEnd w:id="61"/>
      <w:r>
        <w:rPr>
          <w:rFonts w:hint="eastAsia" w:ascii="宋体" w:hAnsi="宋体"/>
          <w:sz w:val="24"/>
          <w:szCs w:val="24"/>
        </w:rPr>
        <w:t>采购终止</w:t>
      </w:r>
      <w:bookmarkEnd w:id="63"/>
    </w:p>
    <w:p>
      <w:pPr>
        <w:snapToGrid w:val="0"/>
        <w:spacing w:line="360" w:lineRule="auto"/>
        <w:ind w:firstLine="465"/>
        <w:rPr>
          <w:rFonts w:ascii="宋体" w:hAnsi="宋体"/>
          <w:sz w:val="24"/>
          <w:szCs w:val="24"/>
        </w:rPr>
      </w:pPr>
      <w:r>
        <w:rPr>
          <w:rFonts w:hint="eastAsia" w:ascii="宋体" w:hAnsi="宋体"/>
          <w:sz w:val="24"/>
          <w:szCs w:val="24"/>
        </w:rPr>
        <w:t>出现下列情形之一的，采购人或者采购代理机构应当终止竞争性磋商采购活动，发布项目终止公告并说明原因，重新开展采购活动：</w:t>
      </w:r>
    </w:p>
    <w:p>
      <w:pPr>
        <w:snapToGrid w:val="0"/>
        <w:spacing w:line="360" w:lineRule="auto"/>
        <w:ind w:firstLine="465"/>
        <w:rPr>
          <w:rFonts w:ascii="宋体" w:hAnsi="宋体"/>
          <w:sz w:val="24"/>
          <w:szCs w:val="24"/>
        </w:rPr>
      </w:pPr>
      <w:r>
        <w:rPr>
          <w:rFonts w:hint="eastAsia" w:ascii="宋体" w:hAnsi="宋体"/>
          <w:sz w:val="24"/>
          <w:szCs w:val="24"/>
        </w:rPr>
        <w:t>（一）因情况变化，不再符合规定的竞争性磋商采购方式适用情形的；</w:t>
      </w:r>
    </w:p>
    <w:p>
      <w:pPr>
        <w:snapToGrid w:val="0"/>
        <w:spacing w:line="360" w:lineRule="auto"/>
        <w:ind w:firstLine="465"/>
        <w:rPr>
          <w:rFonts w:ascii="宋体" w:hAnsi="宋体"/>
          <w:sz w:val="24"/>
          <w:szCs w:val="24"/>
        </w:rPr>
      </w:pPr>
      <w:r>
        <w:rPr>
          <w:rFonts w:hint="eastAsia" w:ascii="宋体" w:hAnsi="宋体"/>
          <w:sz w:val="24"/>
          <w:szCs w:val="24"/>
        </w:rPr>
        <w:t>（二）出现影响采购公正的违法、违规行为的；</w:t>
      </w:r>
    </w:p>
    <w:p>
      <w:pPr>
        <w:snapToGrid w:val="0"/>
        <w:spacing w:line="360" w:lineRule="auto"/>
        <w:ind w:firstLine="465"/>
        <w:rPr>
          <w:rFonts w:ascii="宋体" w:hAnsi="宋体"/>
          <w:sz w:val="24"/>
          <w:szCs w:val="24"/>
        </w:rPr>
      </w:pPr>
      <w:r>
        <w:rPr>
          <w:rFonts w:hint="eastAsia" w:ascii="宋体" w:hAnsi="宋体"/>
          <w:sz w:val="24"/>
          <w:szCs w:val="24"/>
        </w:rPr>
        <w:t>（三）在采购过程中符合要求的供应商或者报价未超过采购预算的供应商不足3家的，但《政府采购竞争性磋商采购方式管理暂行办法》第二十一条第三款及《财政部关于政府采购竞争性磋商采购方式管理暂行办法有关问题的补充通知》规定的情形除外。</w:t>
      </w:r>
    </w:p>
    <w:p>
      <w:pPr>
        <w:spacing w:line="360" w:lineRule="auto"/>
        <w:ind w:firstLine="480" w:firstLineChars="200"/>
        <w:rPr>
          <w:rFonts w:ascii="宋体" w:hAnsi="宋体"/>
          <w:sz w:val="24"/>
          <w:szCs w:val="24"/>
        </w:rPr>
        <w:sectPr>
          <w:footerReference r:id="rId7" w:type="default"/>
          <w:footerReference r:id="rId8" w:type="even"/>
          <w:pgSz w:w="11907" w:h="16840"/>
          <w:pgMar w:top="1134" w:right="1191" w:bottom="1134" w:left="1191" w:header="964" w:footer="992" w:gutter="0"/>
          <w:pgNumType w:fmt="numberInDash" w:start="1"/>
          <w:cols w:space="720" w:num="1"/>
          <w:docGrid w:linePitch="312" w:charSpace="0"/>
        </w:sectPr>
      </w:pPr>
    </w:p>
    <w:p>
      <w:pPr>
        <w:pStyle w:val="3"/>
        <w:pageBreakBefore/>
        <w:snapToGrid w:val="0"/>
        <w:spacing w:beforeLines="50" w:line="360" w:lineRule="auto"/>
        <w:jc w:val="center"/>
        <w:rPr>
          <w:rFonts w:ascii="宋体" w:hAnsi="宋体" w:eastAsia="宋体"/>
          <w:sz w:val="36"/>
          <w:szCs w:val="30"/>
        </w:rPr>
      </w:pPr>
      <w:bookmarkStart w:id="64" w:name="_Toc101697406"/>
      <w:bookmarkStart w:id="65" w:name="_Toc102227313"/>
      <w:r>
        <w:rPr>
          <w:rFonts w:hint="eastAsia" w:ascii="宋体" w:hAnsi="宋体" w:eastAsia="宋体"/>
          <w:sz w:val="36"/>
          <w:szCs w:val="30"/>
        </w:rPr>
        <w:t>第五篇  供应商须知</w:t>
      </w:r>
      <w:bookmarkEnd w:id="64"/>
      <w:bookmarkEnd w:id="65"/>
    </w:p>
    <w:p>
      <w:pPr>
        <w:pStyle w:val="4"/>
        <w:spacing w:line="360" w:lineRule="auto"/>
        <w:ind w:firstLine="482" w:firstLineChars="200"/>
        <w:rPr>
          <w:rFonts w:ascii="宋体" w:hAnsi="宋体"/>
          <w:sz w:val="24"/>
          <w:szCs w:val="24"/>
        </w:rPr>
      </w:pPr>
      <w:bookmarkStart w:id="66" w:name="_Toc101697407"/>
      <w:bookmarkStart w:id="67" w:name="_Toc342913389"/>
      <w:r>
        <w:rPr>
          <w:rFonts w:hint="eastAsia" w:ascii="宋体" w:hAnsi="宋体"/>
          <w:sz w:val="24"/>
          <w:szCs w:val="24"/>
        </w:rPr>
        <w:t>一、磋商费用</w:t>
      </w:r>
      <w:bookmarkEnd w:id="66"/>
      <w:bookmarkEnd w:id="67"/>
    </w:p>
    <w:p>
      <w:pPr>
        <w:spacing w:line="360" w:lineRule="auto"/>
        <w:ind w:firstLine="480" w:firstLineChars="200"/>
        <w:rPr>
          <w:rFonts w:hAnsi="宋体"/>
          <w:sz w:val="24"/>
          <w:szCs w:val="24"/>
        </w:rPr>
      </w:pPr>
      <w:r>
        <w:rPr>
          <w:rFonts w:hint="eastAsia" w:hAnsi="宋体"/>
          <w:sz w:val="24"/>
          <w:szCs w:val="24"/>
        </w:rPr>
        <w:t>参与磋商的供应商应承担其编制响应文件与递交响应文件所涉及的一切费用，不论磋商结果如何，采购人在任何情况下无义务也无责任承担这些费用。</w:t>
      </w:r>
    </w:p>
    <w:p>
      <w:pPr>
        <w:pStyle w:val="4"/>
        <w:tabs>
          <w:tab w:val="left" w:pos="2640"/>
        </w:tabs>
        <w:spacing w:line="360" w:lineRule="auto"/>
        <w:ind w:firstLine="482" w:firstLineChars="200"/>
        <w:rPr>
          <w:rFonts w:ascii="宋体" w:hAnsi="宋体"/>
          <w:sz w:val="24"/>
          <w:szCs w:val="24"/>
        </w:rPr>
      </w:pPr>
      <w:bookmarkStart w:id="68" w:name="_Toc342913391"/>
      <w:bookmarkStart w:id="69" w:name="_Toc101697408"/>
      <w:r>
        <w:rPr>
          <w:rFonts w:hint="eastAsia" w:ascii="宋体" w:hAnsi="宋体"/>
          <w:sz w:val="24"/>
          <w:szCs w:val="24"/>
        </w:rPr>
        <w:t>二、竞争性磋商文件</w:t>
      </w:r>
      <w:bookmarkEnd w:id="68"/>
      <w:bookmarkEnd w:id="69"/>
    </w:p>
    <w:p>
      <w:pPr>
        <w:snapToGrid w:val="0"/>
        <w:spacing w:line="360" w:lineRule="auto"/>
        <w:ind w:firstLine="480" w:firstLineChars="200"/>
        <w:rPr>
          <w:rFonts w:ascii="宋体" w:hAnsi="宋体"/>
          <w:sz w:val="24"/>
          <w:szCs w:val="24"/>
        </w:rPr>
      </w:pPr>
      <w:r>
        <w:rPr>
          <w:rFonts w:hint="eastAsia" w:ascii="宋体" w:hAnsi="宋体"/>
          <w:sz w:val="24"/>
          <w:szCs w:val="24"/>
        </w:rPr>
        <w:t>（一）竞争性磋商文件由采购邀请书；采购服务需求；采购商务需求；磋商程序及方法、评审标准、无效响应和采购终止；供应商须知；合同草案条款；响应文件编制要求共七部分组成。</w:t>
      </w:r>
    </w:p>
    <w:p>
      <w:pPr>
        <w:snapToGrid w:val="0"/>
        <w:spacing w:line="360" w:lineRule="auto"/>
        <w:ind w:firstLine="480" w:firstLineChars="200"/>
        <w:rPr>
          <w:rFonts w:ascii="宋体" w:hAnsi="宋体"/>
          <w:sz w:val="24"/>
          <w:szCs w:val="24"/>
        </w:rPr>
      </w:pPr>
      <w:r>
        <w:rPr>
          <w:rFonts w:hint="eastAsia" w:ascii="宋体" w:hAnsi="宋体"/>
          <w:sz w:val="24"/>
          <w:szCs w:val="24"/>
        </w:rPr>
        <w:t>（二）采购人所作的一切有效的书面通知、修改及补充，都是竞争性磋商文件不可分割的部分。</w:t>
      </w:r>
    </w:p>
    <w:p>
      <w:pPr>
        <w:snapToGrid w:val="0"/>
        <w:spacing w:line="360" w:lineRule="auto"/>
        <w:ind w:firstLine="480" w:firstLineChars="200"/>
        <w:rPr>
          <w:rFonts w:ascii="宋体" w:hAnsi="宋体"/>
          <w:sz w:val="24"/>
          <w:szCs w:val="24"/>
        </w:rPr>
      </w:pPr>
      <w:r>
        <w:rPr>
          <w:rFonts w:hint="eastAsia" w:ascii="宋体" w:hAnsi="宋体"/>
          <w:sz w:val="24"/>
          <w:szCs w:val="24"/>
        </w:rPr>
        <w:t>（三）竞争性磋商文件的解释</w:t>
      </w:r>
    </w:p>
    <w:p>
      <w:pPr>
        <w:spacing w:line="360" w:lineRule="auto"/>
        <w:ind w:firstLine="480" w:firstLineChars="200"/>
        <w:rPr>
          <w:rFonts w:ascii="宋体" w:hAnsi="宋体"/>
          <w:sz w:val="24"/>
          <w:szCs w:val="24"/>
        </w:rPr>
      </w:pPr>
      <w:r>
        <w:rPr>
          <w:rFonts w:hint="eastAsia" w:ascii="宋体" w:hAnsi="宋体"/>
          <w:sz w:val="24"/>
          <w:szCs w:val="24"/>
        </w:rPr>
        <w:t>供应商如对竞争性磋商文件有疑问，必须以书面形式在提交响应文件截止时间3个工作日前向采购人要求澄清，采购人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70" w:name="_Toc318159780"/>
      <w:bookmarkStart w:id="71" w:name="_Toc318159349"/>
      <w:bookmarkStart w:id="72" w:name="_Toc318166429"/>
      <w:bookmarkStart w:id="73" w:name="_Toc318159160"/>
    </w:p>
    <w:p>
      <w:pPr>
        <w:spacing w:line="360" w:lineRule="auto"/>
        <w:ind w:firstLine="480" w:firstLineChars="200"/>
        <w:rPr>
          <w:rFonts w:ascii="宋体" w:hAnsi="宋体"/>
          <w:sz w:val="24"/>
          <w:szCs w:val="24"/>
        </w:rPr>
      </w:pPr>
      <w:r>
        <w:rPr>
          <w:rFonts w:hint="eastAsia" w:ascii="宋体" w:hAnsi="宋体"/>
          <w:sz w:val="24"/>
          <w:szCs w:val="24"/>
        </w:rPr>
        <w:t>（四）本竞争性磋商文件中，磋商小组根据与供应商进行磋商可能实质性变动的内容为竞争性磋商文件第二、三、六篇全部内容。</w:t>
      </w:r>
    </w:p>
    <w:p>
      <w:pPr>
        <w:spacing w:line="360" w:lineRule="auto"/>
        <w:ind w:firstLine="480" w:firstLineChars="200"/>
        <w:rPr>
          <w:rFonts w:ascii="宋体" w:hAnsi="宋体"/>
          <w:sz w:val="24"/>
          <w:szCs w:val="24"/>
        </w:rPr>
      </w:pPr>
      <w:r>
        <w:rPr>
          <w:rFonts w:hint="eastAsia" w:ascii="宋体" w:hAnsi="宋体"/>
          <w:sz w:val="24"/>
          <w:szCs w:val="24"/>
        </w:rPr>
        <w:t>（五）评审的依据为竞争性磋商文件和响应文件（含有效的书面承诺）。磋商小组判断响应文件对竞争性磋商文件的响应，仅基于响应文件本身而不靠外部证据。</w:t>
      </w:r>
    </w:p>
    <w:bookmarkEnd w:id="70"/>
    <w:bookmarkEnd w:id="71"/>
    <w:bookmarkEnd w:id="72"/>
    <w:bookmarkEnd w:id="73"/>
    <w:p>
      <w:pPr>
        <w:pStyle w:val="4"/>
        <w:spacing w:line="360" w:lineRule="auto"/>
        <w:ind w:firstLine="482" w:firstLineChars="200"/>
        <w:rPr>
          <w:rFonts w:ascii="宋体" w:hAnsi="宋体"/>
          <w:sz w:val="24"/>
          <w:szCs w:val="24"/>
        </w:rPr>
      </w:pPr>
      <w:bookmarkStart w:id="74" w:name="_Toc179714297"/>
      <w:bookmarkStart w:id="75" w:name="_Toc342913392"/>
      <w:bookmarkStart w:id="76" w:name="_Toc102227318"/>
      <w:bookmarkStart w:id="77" w:name="_Toc101697409"/>
      <w:r>
        <w:rPr>
          <w:rFonts w:hint="eastAsia" w:ascii="宋体" w:hAnsi="宋体"/>
          <w:sz w:val="24"/>
          <w:szCs w:val="24"/>
        </w:rPr>
        <w:t>三、磋商要求</w:t>
      </w:r>
      <w:bookmarkEnd w:id="74"/>
      <w:bookmarkEnd w:id="75"/>
      <w:bookmarkEnd w:id="76"/>
      <w:bookmarkEnd w:id="77"/>
    </w:p>
    <w:p>
      <w:pPr>
        <w:spacing w:line="360" w:lineRule="auto"/>
        <w:ind w:firstLine="480" w:firstLineChars="200"/>
        <w:rPr>
          <w:rFonts w:ascii="宋体" w:hAnsi="宋体"/>
          <w:sz w:val="24"/>
          <w:szCs w:val="24"/>
        </w:rPr>
      </w:pPr>
      <w:r>
        <w:rPr>
          <w:rFonts w:hint="eastAsia" w:ascii="宋体" w:hAnsi="宋体"/>
          <w:sz w:val="24"/>
          <w:szCs w:val="24"/>
        </w:rPr>
        <w:t>（一）响应文件</w:t>
      </w:r>
    </w:p>
    <w:p>
      <w:pPr>
        <w:spacing w:line="360" w:lineRule="auto"/>
        <w:ind w:firstLine="480" w:firstLineChars="200"/>
        <w:rPr>
          <w:rFonts w:ascii="宋体" w:hAnsi="宋体"/>
          <w:sz w:val="24"/>
          <w:szCs w:val="24"/>
        </w:rPr>
      </w:pPr>
      <w:r>
        <w:rPr>
          <w:rFonts w:hint="eastAsia" w:ascii="宋体" w:hAnsi="宋体"/>
          <w:sz w:val="24"/>
          <w:szCs w:val="24"/>
        </w:rPr>
        <w:t>1.供应商应当按照竞争性磋商文件的要求编制响应文件，并对竞争性磋商文件提出的要求和条件作出实质性响应，响应文件原则上采用软面订本，同时应编制完整的页码、目录。</w:t>
      </w:r>
    </w:p>
    <w:p>
      <w:pPr>
        <w:spacing w:line="360" w:lineRule="auto"/>
        <w:ind w:firstLine="480" w:firstLineChars="200"/>
        <w:rPr>
          <w:rFonts w:ascii="宋体" w:hAnsi="宋体"/>
          <w:sz w:val="24"/>
          <w:szCs w:val="24"/>
        </w:rPr>
      </w:pPr>
      <w:r>
        <w:rPr>
          <w:rFonts w:hint="eastAsia" w:ascii="宋体" w:hAnsi="宋体"/>
          <w:sz w:val="24"/>
          <w:szCs w:val="24"/>
        </w:rPr>
        <w:t>2.响应文件组成</w:t>
      </w:r>
    </w:p>
    <w:p>
      <w:pPr>
        <w:spacing w:line="360" w:lineRule="auto"/>
        <w:ind w:firstLine="480" w:firstLineChars="200"/>
        <w:rPr>
          <w:rFonts w:ascii="宋体" w:hAnsi="宋体"/>
          <w:sz w:val="24"/>
          <w:szCs w:val="24"/>
        </w:rPr>
      </w:pPr>
      <w:r>
        <w:rPr>
          <w:rFonts w:hint="eastAsia" w:ascii="宋体" w:hAnsi="宋体"/>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pPr>
        <w:spacing w:line="360" w:lineRule="auto"/>
        <w:ind w:firstLine="480" w:firstLineChars="200"/>
        <w:rPr>
          <w:rFonts w:ascii="宋体" w:hAnsi="宋体"/>
          <w:sz w:val="24"/>
          <w:szCs w:val="24"/>
        </w:rPr>
      </w:pPr>
      <w:r>
        <w:rPr>
          <w:rFonts w:hint="eastAsia" w:ascii="宋体" w:hAnsi="宋体"/>
          <w:sz w:val="24"/>
          <w:szCs w:val="24"/>
        </w:rPr>
        <w:t>（二）联合体</w:t>
      </w:r>
    </w:p>
    <w:p>
      <w:pPr>
        <w:spacing w:line="360" w:lineRule="auto"/>
        <w:ind w:firstLine="480" w:firstLineChars="200"/>
        <w:rPr>
          <w:rFonts w:ascii="宋体" w:hAnsi="宋体"/>
          <w:sz w:val="24"/>
          <w:szCs w:val="24"/>
        </w:rPr>
      </w:pPr>
      <w:r>
        <w:rPr>
          <w:rFonts w:hint="eastAsia" w:ascii="宋体" w:hAnsi="宋体"/>
          <w:sz w:val="24"/>
          <w:szCs w:val="24"/>
        </w:rPr>
        <w:t>本项目不接受联合体磋商。</w:t>
      </w:r>
    </w:p>
    <w:p>
      <w:pPr>
        <w:spacing w:line="360" w:lineRule="auto"/>
        <w:ind w:firstLine="480" w:firstLineChars="200"/>
        <w:rPr>
          <w:rFonts w:ascii="宋体" w:hAnsi="宋体"/>
          <w:sz w:val="24"/>
          <w:szCs w:val="24"/>
        </w:rPr>
      </w:pPr>
      <w:r>
        <w:rPr>
          <w:rFonts w:hint="eastAsia" w:ascii="宋体" w:hAnsi="宋体"/>
          <w:sz w:val="24"/>
          <w:szCs w:val="24"/>
        </w:rPr>
        <w:t>（三）磋商有效期：响应文件及有关承诺文件有效期为提交响应文件截止</w:t>
      </w:r>
      <w:r>
        <w:rPr>
          <w:rFonts w:hint="eastAsia" w:ascii="宋体" w:hAnsi="宋体"/>
          <w:color w:val="auto"/>
          <w:sz w:val="24"/>
          <w:szCs w:val="24"/>
        </w:rPr>
        <w:t>时间起90天。</w:t>
      </w:r>
    </w:p>
    <w:p>
      <w:pPr>
        <w:spacing w:line="360" w:lineRule="auto"/>
        <w:ind w:firstLine="480" w:firstLineChars="200"/>
        <w:rPr>
          <w:rFonts w:ascii="宋体" w:hAnsi="宋体"/>
          <w:sz w:val="24"/>
          <w:szCs w:val="24"/>
        </w:rPr>
      </w:pPr>
      <w:r>
        <w:rPr>
          <w:rFonts w:hint="eastAsia" w:ascii="宋体" w:hAnsi="宋体"/>
          <w:sz w:val="24"/>
          <w:szCs w:val="24"/>
        </w:rPr>
        <w:t>（四）修正错误</w:t>
      </w:r>
    </w:p>
    <w:p>
      <w:pPr>
        <w:spacing w:line="360" w:lineRule="auto"/>
        <w:ind w:firstLine="480" w:firstLineChars="200"/>
        <w:rPr>
          <w:rFonts w:ascii="宋体" w:hAnsi="宋体"/>
          <w:sz w:val="24"/>
          <w:szCs w:val="24"/>
        </w:rPr>
      </w:pPr>
      <w:r>
        <w:rPr>
          <w:rFonts w:hint="eastAsia" w:ascii="宋体" w:hAnsi="宋体"/>
          <w:sz w:val="24"/>
          <w:szCs w:val="24"/>
        </w:rPr>
        <w:t>1.若供应商所递交的响应文件或最后报价中的价格出现大写金额和小写金额不一致的错误，以大写金额修正为准。</w:t>
      </w:r>
    </w:p>
    <w:p>
      <w:pPr>
        <w:spacing w:line="360" w:lineRule="auto"/>
        <w:ind w:firstLine="480" w:firstLineChars="200"/>
        <w:rPr>
          <w:rFonts w:ascii="宋体" w:hAnsi="宋体"/>
          <w:sz w:val="24"/>
          <w:szCs w:val="24"/>
        </w:rPr>
      </w:pPr>
      <w:r>
        <w:rPr>
          <w:rFonts w:hint="eastAsia" w:ascii="宋体" w:hAnsi="宋体"/>
          <w:sz w:val="24"/>
          <w:szCs w:val="24"/>
        </w:rPr>
        <w:t>2.磋商小组按上述修正错误的原则及方法修正供应商的报价，供应商同意并签字确认后，修正后的报价对供应商具有约束作用。如果供应商不接受修正后的价格，将失去成为成交供应商的资格。</w:t>
      </w:r>
    </w:p>
    <w:p>
      <w:pPr>
        <w:snapToGrid w:val="0"/>
        <w:spacing w:line="360" w:lineRule="auto"/>
        <w:ind w:firstLine="480" w:firstLineChars="200"/>
        <w:rPr>
          <w:rFonts w:ascii="宋体" w:hAnsi="宋体"/>
          <w:sz w:val="24"/>
          <w:szCs w:val="24"/>
        </w:rPr>
      </w:pPr>
      <w:r>
        <w:rPr>
          <w:rFonts w:hint="eastAsia" w:ascii="宋体" w:hAnsi="宋体"/>
          <w:sz w:val="24"/>
          <w:szCs w:val="24"/>
        </w:rPr>
        <w:t>（五）提交响应文件的份数和签署</w:t>
      </w:r>
    </w:p>
    <w:p>
      <w:pPr>
        <w:snapToGrid w:val="0"/>
        <w:spacing w:line="360" w:lineRule="auto"/>
        <w:ind w:firstLine="480" w:firstLineChars="200"/>
        <w:rPr>
          <w:rFonts w:ascii="宋体" w:hAnsi="宋体"/>
          <w:sz w:val="24"/>
          <w:szCs w:val="24"/>
        </w:rPr>
      </w:pPr>
      <w:r>
        <w:rPr>
          <w:rFonts w:hint="eastAsia" w:ascii="宋体" w:hAnsi="宋体"/>
          <w:sz w:val="24"/>
          <w:szCs w:val="24"/>
        </w:rPr>
        <w:t>1.响应文件一式二份，其中正本一份，副本一份；副本可为正本的复印件，应与正本一致，如出现不一致情况以正本为准。</w:t>
      </w:r>
    </w:p>
    <w:p>
      <w:pPr>
        <w:snapToGrid w:val="0"/>
        <w:spacing w:line="360" w:lineRule="auto"/>
        <w:ind w:firstLine="480" w:firstLineChars="200"/>
        <w:rPr>
          <w:rFonts w:ascii="宋体" w:hAnsi="宋体"/>
          <w:sz w:val="24"/>
          <w:szCs w:val="24"/>
        </w:rPr>
      </w:pPr>
      <w:r>
        <w:rPr>
          <w:rFonts w:hint="eastAsia" w:ascii="宋体" w:hAnsi="宋体"/>
          <w:sz w:val="24"/>
          <w:szCs w:val="24"/>
        </w:rPr>
        <w:t>2.</w:t>
      </w:r>
      <w:r>
        <w:rPr>
          <w:rFonts w:hint="eastAsia" w:ascii="宋体" w:hAnsi="宋体"/>
          <w:sz w:val="24"/>
        </w:rPr>
        <w:t>在响应文件正本中，竞争性磋商文件第七篇响应文件编制要求中规定签字、盖章的地方必须按其规定签字、盖章。</w:t>
      </w:r>
    </w:p>
    <w:p>
      <w:pPr>
        <w:snapToGrid w:val="0"/>
        <w:spacing w:line="360" w:lineRule="auto"/>
        <w:ind w:firstLine="480" w:firstLineChars="200"/>
        <w:rPr>
          <w:rFonts w:ascii="宋体" w:hAnsi="宋体"/>
          <w:sz w:val="24"/>
          <w:szCs w:val="24"/>
        </w:rPr>
      </w:pPr>
      <w:r>
        <w:rPr>
          <w:rFonts w:hint="eastAsia" w:ascii="宋体" w:hAnsi="宋体"/>
          <w:sz w:val="24"/>
          <w:szCs w:val="24"/>
        </w:rPr>
        <w:t>（六）响应文件的递交</w:t>
      </w:r>
    </w:p>
    <w:p>
      <w:pPr>
        <w:snapToGrid w:val="0"/>
        <w:spacing w:line="360" w:lineRule="auto"/>
        <w:ind w:firstLine="480" w:firstLineChars="200"/>
        <w:rPr>
          <w:rFonts w:ascii="宋体" w:hAnsi="宋体"/>
          <w:sz w:val="24"/>
          <w:szCs w:val="24"/>
        </w:rPr>
      </w:pPr>
      <w:r>
        <w:rPr>
          <w:rFonts w:hint="eastAsia" w:ascii="宋体" w:hAnsi="宋体"/>
          <w:sz w:val="24"/>
          <w:szCs w:val="24"/>
        </w:rPr>
        <w:t>1.响应文件的密封与标记</w:t>
      </w:r>
    </w:p>
    <w:p>
      <w:pPr>
        <w:snapToGrid w:val="0"/>
        <w:spacing w:line="360" w:lineRule="auto"/>
        <w:ind w:firstLine="480" w:firstLineChars="200"/>
        <w:rPr>
          <w:rFonts w:ascii="宋体" w:hAnsi="宋体"/>
          <w:sz w:val="24"/>
          <w:szCs w:val="24"/>
        </w:rPr>
      </w:pPr>
      <w:r>
        <w:rPr>
          <w:rFonts w:hint="eastAsia" w:ascii="宋体" w:hAnsi="宋体"/>
          <w:sz w:val="24"/>
          <w:szCs w:val="24"/>
        </w:rPr>
        <w:t>响应文件的正本、副本均应密封送达递交响应文件地点，应在封套上注明项目名称、供应商名称。若正本、副本以及电子文档分别进行密封的，还应在封套上注明“正本”、“副本”字样。</w:t>
      </w:r>
    </w:p>
    <w:p>
      <w:pPr>
        <w:snapToGrid w:val="0"/>
        <w:spacing w:line="360" w:lineRule="auto"/>
        <w:ind w:firstLine="480" w:firstLineChars="200"/>
        <w:rPr>
          <w:rFonts w:ascii="宋体" w:hAnsi="宋体"/>
          <w:sz w:val="24"/>
          <w:szCs w:val="24"/>
        </w:rPr>
      </w:pPr>
      <w:r>
        <w:rPr>
          <w:rFonts w:hint="eastAsia" w:ascii="宋体" w:hAnsi="宋体"/>
          <w:sz w:val="24"/>
          <w:szCs w:val="24"/>
        </w:rPr>
        <w:t>响应文件的装订形式为</w:t>
      </w:r>
      <w:r>
        <w:rPr>
          <w:rFonts w:hint="eastAsia" w:ascii="宋体" w:hAnsi="宋体"/>
          <w:b/>
          <w:sz w:val="24"/>
          <w:szCs w:val="24"/>
        </w:rPr>
        <w:t>胶装</w:t>
      </w:r>
      <w:r>
        <w:rPr>
          <w:rFonts w:hint="eastAsia" w:ascii="宋体" w:hAnsi="宋体"/>
          <w:sz w:val="24"/>
          <w:szCs w:val="24"/>
        </w:rPr>
        <w:t>。</w:t>
      </w:r>
    </w:p>
    <w:p>
      <w:pPr>
        <w:snapToGrid w:val="0"/>
        <w:spacing w:line="360" w:lineRule="auto"/>
        <w:ind w:firstLine="480" w:firstLineChars="200"/>
        <w:rPr>
          <w:rFonts w:ascii="宋体" w:hAnsi="宋体"/>
          <w:sz w:val="24"/>
          <w:szCs w:val="24"/>
        </w:rPr>
      </w:pPr>
      <w:r>
        <w:rPr>
          <w:rFonts w:hint="eastAsia" w:ascii="宋体" w:hAnsi="宋体"/>
          <w:sz w:val="24"/>
          <w:szCs w:val="24"/>
        </w:rPr>
        <w:t>2.响应文件递交截止时间：参阅采购邀请书。</w:t>
      </w:r>
    </w:p>
    <w:p>
      <w:pPr>
        <w:snapToGrid w:val="0"/>
        <w:spacing w:line="360" w:lineRule="auto"/>
        <w:ind w:firstLine="480" w:firstLineChars="200"/>
        <w:rPr>
          <w:rFonts w:ascii="宋体" w:hAnsi="宋体"/>
          <w:sz w:val="24"/>
          <w:szCs w:val="24"/>
        </w:rPr>
      </w:pPr>
      <w:r>
        <w:rPr>
          <w:rFonts w:hint="eastAsia" w:ascii="宋体" w:hAnsi="宋体"/>
          <w:sz w:val="24"/>
          <w:szCs w:val="24"/>
        </w:rPr>
        <w:t>3.响应文件语言：简体中文</w:t>
      </w:r>
    </w:p>
    <w:p>
      <w:pPr>
        <w:snapToGrid w:val="0"/>
        <w:spacing w:line="360" w:lineRule="auto"/>
        <w:ind w:firstLine="480" w:firstLineChars="200"/>
        <w:rPr>
          <w:rFonts w:ascii="宋体" w:hAnsi="宋体"/>
          <w:sz w:val="24"/>
          <w:szCs w:val="24"/>
        </w:rPr>
      </w:pPr>
      <w:r>
        <w:rPr>
          <w:rFonts w:hint="eastAsia" w:ascii="宋体" w:hAnsi="宋体"/>
          <w:sz w:val="24"/>
          <w:szCs w:val="24"/>
        </w:rPr>
        <w:t>（七）供应商参与人员</w:t>
      </w:r>
    </w:p>
    <w:p>
      <w:pPr>
        <w:snapToGrid w:val="0"/>
        <w:spacing w:line="360" w:lineRule="auto"/>
        <w:ind w:firstLine="480" w:firstLineChars="200"/>
        <w:rPr>
          <w:rFonts w:ascii="宋体" w:hAnsi="宋体"/>
          <w:sz w:val="24"/>
          <w:szCs w:val="24"/>
        </w:rPr>
      </w:pPr>
      <w:r>
        <w:rPr>
          <w:rFonts w:hint="eastAsia" w:ascii="宋体" w:hAnsi="宋体"/>
          <w:sz w:val="24"/>
          <w:szCs w:val="24"/>
        </w:rPr>
        <w:t>各个供应商可派1-2名代表参与磋商，至少1人应为法定代表人或具有法定代表人授权委托书的授权代表。</w:t>
      </w:r>
    </w:p>
    <w:p>
      <w:pPr>
        <w:pStyle w:val="4"/>
        <w:spacing w:line="360" w:lineRule="auto"/>
        <w:ind w:firstLine="482" w:firstLineChars="200"/>
        <w:rPr>
          <w:rFonts w:ascii="宋体" w:hAnsi="宋体"/>
          <w:sz w:val="24"/>
          <w:szCs w:val="24"/>
        </w:rPr>
      </w:pPr>
      <w:bookmarkStart w:id="78" w:name="_Toc101697410"/>
      <w:r>
        <w:rPr>
          <w:rFonts w:hint="eastAsia" w:ascii="宋体" w:hAnsi="宋体"/>
          <w:sz w:val="24"/>
          <w:szCs w:val="24"/>
        </w:rPr>
        <w:t>四、成交供应商的确认和变更</w:t>
      </w:r>
      <w:bookmarkEnd w:id="78"/>
    </w:p>
    <w:p>
      <w:pPr>
        <w:snapToGrid w:val="0"/>
        <w:spacing w:line="360" w:lineRule="auto"/>
        <w:ind w:firstLine="480" w:firstLineChars="200"/>
        <w:rPr>
          <w:rFonts w:ascii="宋体" w:hAnsi="宋体"/>
          <w:sz w:val="24"/>
          <w:szCs w:val="24"/>
        </w:rPr>
      </w:pPr>
      <w:r>
        <w:rPr>
          <w:rFonts w:hint="eastAsia" w:ascii="宋体" w:hAnsi="宋体"/>
          <w:sz w:val="24"/>
          <w:szCs w:val="24"/>
        </w:rPr>
        <w:t>（一）成交供应商的确认</w:t>
      </w:r>
    </w:p>
    <w:p>
      <w:pPr>
        <w:snapToGrid w:val="0"/>
        <w:spacing w:line="360" w:lineRule="auto"/>
        <w:ind w:firstLine="480" w:firstLineChars="200"/>
        <w:rPr>
          <w:rFonts w:ascii="宋体" w:hAnsi="宋体"/>
          <w:sz w:val="24"/>
          <w:szCs w:val="24"/>
        </w:rPr>
      </w:pPr>
      <w:r>
        <w:rPr>
          <w:rFonts w:ascii="宋体" w:hAnsi="宋体"/>
          <w:sz w:val="24"/>
          <w:szCs w:val="24"/>
        </w:rPr>
        <w:t>采购人应当在收到</w:t>
      </w:r>
      <w:r>
        <w:rPr>
          <w:rFonts w:hint="eastAsia" w:ascii="宋体" w:hAnsi="宋体"/>
          <w:sz w:val="24"/>
          <w:szCs w:val="24"/>
        </w:rPr>
        <w:t>磋商小组提交的</w:t>
      </w:r>
      <w:r>
        <w:rPr>
          <w:rFonts w:ascii="宋体" w:hAnsi="宋体"/>
          <w:sz w:val="24"/>
          <w:szCs w:val="24"/>
        </w:rPr>
        <w:t>评审报告后5个工作日内</w:t>
      </w:r>
      <w:r>
        <w:rPr>
          <w:rFonts w:hint="eastAsia" w:ascii="宋体" w:hAnsi="宋体"/>
          <w:sz w:val="24"/>
          <w:szCs w:val="24"/>
        </w:rPr>
        <w:t>，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napToGrid w:val="0"/>
        <w:spacing w:line="360" w:lineRule="auto"/>
        <w:ind w:firstLine="480" w:firstLineChars="200"/>
        <w:rPr>
          <w:rFonts w:ascii="宋体" w:hAnsi="宋体"/>
          <w:sz w:val="24"/>
          <w:szCs w:val="24"/>
        </w:rPr>
      </w:pPr>
      <w:r>
        <w:rPr>
          <w:rFonts w:hint="eastAsia" w:ascii="宋体" w:hAnsi="宋体"/>
          <w:sz w:val="24"/>
          <w:szCs w:val="24"/>
        </w:rPr>
        <w:t>（二）成交供应商的变更</w:t>
      </w:r>
    </w:p>
    <w:p>
      <w:pPr>
        <w:snapToGrid w:val="0"/>
        <w:spacing w:line="360" w:lineRule="auto"/>
        <w:ind w:firstLine="480" w:firstLineChars="200"/>
        <w:rPr>
          <w:rFonts w:ascii="宋体" w:hAnsi="宋体"/>
          <w:sz w:val="24"/>
          <w:szCs w:val="24"/>
        </w:rPr>
      </w:pPr>
      <w:r>
        <w:rPr>
          <w:rFonts w:hint="eastAsia" w:ascii="宋体" w:hAnsi="宋体"/>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pPr>
        <w:snapToGrid w:val="0"/>
        <w:spacing w:line="360" w:lineRule="auto"/>
        <w:ind w:firstLine="480" w:firstLineChars="200"/>
        <w:rPr>
          <w:rFonts w:ascii="宋体" w:hAnsi="宋体"/>
          <w:sz w:val="24"/>
          <w:szCs w:val="24"/>
        </w:rPr>
      </w:pPr>
      <w:r>
        <w:rPr>
          <w:rFonts w:hint="eastAsia" w:ascii="宋体" w:hAnsi="宋体"/>
          <w:sz w:val="24"/>
          <w:szCs w:val="24"/>
        </w:rPr>
        <w:t>2.成交供应商无充分理由放弃成交的，采购人将把相关情况报财政部门，财政部门将根据相关法律法规的规定对违规供应商进行处罚。</w:t>
      </w:r>
    </w:p>
    <w:p>
      <w:pPr>
        <w:pStyle w:val="4"/>
        <w:spacing w:line="360" w:lineRule="auto"/>
        <w:ind w:firstLine="482" w:firstLineChars="200"/>
        <w:rPr>
          <w:rFonts w:ascii="宋体" w:hAnsi="宋体"/>
          <w:sz w:val="24"/>
          <w:szCs w:val="24"/>
        </w:rPr>
      </w:pPr>
      <w:bookmarkStart w:id="79" w:name="_Toc101697411"/>
      <w:bookmarkStart w:id="80" w:name="_Toc342913395"/>
      <w:bookmarkStart w:id="81" w:name="_Toc102227321"/>
      <w:r>
        <w:rPr>
          <w:rFonts w:hint="eastAsia" w:ascii="宋体" w:hAnsi="宋体"/>
          <w:sz w:val="24"/>
          <w:szCs w:val="24"/>
        </w:rPr>
        <w:t>五、成交通知</w:t>
      </w:r>
      <w:bookmarkEnd w:id="79"/>
      <w:bookmarkEnd w:id="80"/>
      <w:bookmarkEnd w:id="81"/>
    </w:p>
    <w:p>
      <w:pPr>
        <w:spacing w:line="360" w:lineRule="auto"/>
        <w:ind w:firstLine="480" w:firstLineChars="200"/>
        <w:rPr>
          <w:rFonts w:ascii="宋体" w:hAnsi="宋体"/>
          <w:sz w:val="24"/>
          <w:szCs w:val="24"/>
        </w:rPr>
      </w:pPr>
      <w:r>
        <w:rPr>
          <w:rFonts w:hint="eastAsia" w:ascii="宋体" w:hAnsi="宋体"/>
          <w:sz w:val="24"/>
          <w:szCs w:val="24"/>
        </w:rPr>
        <w:t>（一）成交供应商确定后，采购人将在</w:t>
      </w:r>
      <w:r>
        <w:rPr>
          <w:rFonts w:ascii="宋体" w:hAnsi="宋体"/>
          <w:sz w:val="24"/>
          <w:szCs w:val="24"/>
        </w:rPr>
        <w:t>http://jda.cq.gov.cn/daggk1</w:t>
      </w:r>
      <w:r>
        <w:rPr>
          <w:rFonts w:hint="eastAsia" w:ascii="宋体" w:hAnsi="宋体"/>
          <w:sz w:val="24"/>
          <w:szCs w:val="24"/>
        </w:rPr>
        <w:t>网上发布成交结果公告。</w:t>
      </w:r>
    </w:p>
    <w:p>
      <w:pPr>
        <w:spacing w:line="360" w:lineRule="auto"/>
        <w:ind w:firstLine="480" w:firstLineChars="200"/>
        <w:rPr>
          <w:rFonts w:ascii="宋体" w:hAnsi="宋体"/>
          <w:sz w:val="24"/>
          <w:szCs w:val="24"/>
        </w:rPr>
      </w:pPr>
      <w:r>
        <w:rPr>
          <w:rFonts w:hint="eastAsia" w:ascii="宋体" w:hAnsi="宋体"/>
          <w:sz w:val="24"/>
          <w:szCs w:val="24"/>
        </w:rPr>
        <w:t>（二）结果公告期结束后，采购人将以书面形式发出《成交通知书》。《成交通知书》一经发出即发生法律效力。</w:t>
      </w:r>
    </w:p>
    <w:p>
      <w:pPr>
        <w:spacing w:line="360" w:lineRule="auto"/>
        <w:ind w:firstLine="480" w:firstLineChars="200"/>
        <w:rPr>
          <w:rFonts w:ascii="宋体" w:hAnsi="宋体"/>
          <w:sz w:val="24"/>
          <w:szCs w:val="24"/>
        </w:rPr>
      </w:pPr>
      <w:r>
        <w:rPr>
          <w:rFonts w:hint="eastAsia" w:ascii="宋体" w:hAnsi="宋体"/>
          <w:sz w:val="24"/>
          <w:szCs w:val="24"/>
        </w:rPr>
        <w:t>（三）《成交通知书》将作为签订合同的依据。</w:t>
      </w:r>
    </w:p>
    <w:p>
      <w:pPr>
        <w:spacing w:line="360" w:lineRule="auto"/>
        <w:ind w:firstLine="480" w:firstLineChars="200"/>
        <w:rPr>
          <w:rFonts w:ascii="宋体" w:hAnsi="宋体"/>
        </w:rPr>
      </w:pPr>
      <w:r>
        <w:rPr>
          <w:rFonts w:hint="eastAsia" w:ascii="宋体" w:hAnsi="宋体"/>
          <w:sz w:val="24"/>
          <w:szCs w:val="24"/>
        </w:rPr>
        <w:t>（四）如有供应商对成交结果提出质疑的，在质疑处理完毕后发出成交通知书。</w:t>
      </w:r>
    </w:p>
    <w:p>
      <w:pPr>
        <w:pStyle w:val="4"/>
        <w:snapToGrid w:val="0"/>
        <w:spacing w:line="360" w:lineRule="auto"/>
        <w:ind w:firstLine="482" w:firstLineChars="200"/>
        <w:rPr>
          <w:rFonts w:ascii="宋体" w:hAnsi="宋体"/>
          <w:sz w:val="24"/>
          <w:szCs w:val="24"/>
        </w:rPr>
      </w:pPr>
      <w:bookmarkStart w:id="82" w:name="_Toc102227322"/>
      <w:bookmarkStart w:id="83" w:name="_Toc101697412"/>
      <w:bookmarkStart w:id="84" w:name="_Toc342913396"/>
      <w:bookmarkStart w:id="85" w:name="_Toc11641055"/>
      <w:bookmarkStart w:id="86" w:name="_Toc12789059"/>
      <w:r>
        <w:rPr>
          <w:rFonts w:hint="eastAsia" w:ascii="宋体" w:hAnsi="宋体"/>
          <w:sz w:val="24"/>
          <w:szCs w:val="24"/>
        </w:rPr>
        <w:t>六、签订</w:t>
      </w:r>
      <w:bookmarkEnd w:id="82"/>
      <w:r>
        <w:rPr>
          <w:rFonts w:hint="eastAsia" w:ascii="宋体" w:hAnsi="宋体"/>
          <w:sz w:val="24"/>
          <w:szCs w:val="24"/>
        </w:rPr>
        <w:t>合同</w:t>
      </w:r>
      <w:bookmarkEnd w:id="83"/>
      <w:bookmarkEnd w:id="84"/>
    </w:p>
    <w:p>
      <w:pPr>
        <w:snapToGrid w:val="0"/>
        <w:spacing w:line="360" w:lineRule="auto"/>
        <w:ind w:firstLine="480" w:firstLineChars="200"/>
        <w:rPr>
          <w:rFonts w:ascii="宋体" w:hAnsi="宋体"/>
          <w:sz w:val="24"/>
          <w:szCs w:val="24"/>
        </w:rPr>
      </w:pPr>
      <w:r>
        <w:rPr>
          <w:rFonts w:hint="eastAsia" w:ascii="宋体" w:hAnsi="宋体"/>
          <w:sz w:val="24"/>
          <w:szCs w:val="24"/>
        </w:rPr>
        <w:t>（一）采购人与成交供应商应当在成交通知书发出之日起20日内，按照磋商文件确定的合同文本以及技术和服务要求等事项签订政府采购合同。</w:t>
      </w:r>
    </w:p>
    <w:p>
      <w:pPr>
        <w:snapToGrid w:val="0"/>
        <w:spacing w:line="360" w:lineRule="auto"/>
        <w:ind w:firstLine="480" w:firstLineChars="200"/>
        <w:rPr>
          <w:rFonts w:ascii="宋体" w:hAnsi="宋体"/>
          <w:sz w:val="24"/>
          <w:szCs w:val="24"/>
        </w:rPr>
      </w:pPr>
      <w:r>
        <w:rPr>
          <w:rFonts w:hint="eastAsia" w:ascii="宋体" w:hAnsi="宋体"/>
          <w:sz w:val="24"/>
          <w:szCs w:val="24"/>
        </w:rPr>
        <w:t>（二）竞争性磋商文件、成交供应商的响应文件及有效承诺文件等，均为签订合同的依据。</w:t>
      </w:r>
    </w:p>
    <w:p>
      <w:pPr>
        <w:snapToGrid w:val="0"/>
        <w:spacing w:line="360" w:lineRule="auto"/>
        <w:ind w:firstLine="480" w:firstLineChars="200"/>
        <w:rPr>
          <w:rFonts w:ascii="宋体" w:hAnsi="宋体"/>
          <w:sz w:val="24"/>
          <w:szCs w:val="24"/>
        </w:rPr>
      </w:pPr>
      <w:r>
        <w:rPr>
          <w:rFonts w:hint="eastAsia" w:ascii="宋体" w:hAnsi="宋体"/>
          <w:sz w:val="24"/>
          <w:szCs w:val="24"/>
        </w:rPr>
        <w:t>（三）如成交供应商放弃成交项目或在签订合同时擅自改变成交状态的，采购人将按照相关法律法规处理。</w:t>
      </w:r>
    </w:p>
    <w:p>
      <w:pPr>
        <w:snapToGrid w:val="0"/>
        <w:spacing w:line="360" w:lineRule="auto"/>
        <w:ind w:firstLine="480" w:firstLineChars="200"/>
        <w:rPr>
          <w:rFonts w:ascii="宋体" w:hAnsi="宋体"/>
          <w:sz w:val="24"/>
          <w:szCs w:val="24"/>
        </w:rPr>
      </w:pPr>
      <w:r>
        <w:rPr>
          <w:rFonts w:hint="eastAsia" w:ascii="宋体" w:hAnsi="宋体"/>
          <w:sz w:val="24"/>
          <w:szCs w:val="24"/>
        </w:rPr>
        <w:t>（四）采购人不得向成交供应商提出超出竞争性磋商文件以外的任何要求作为签订合同的条件，不得与成交供应商订立背离竞争性磋商确定的合同文本以及采购标的、规格型号、采购金额、采购数量、技术和服务要求等实质性内容的协议。</w:t>
      </w:r>
    </w:p>
    <w:p>
      <w:pPr>
        <w:snapToGrid w:val="0"/>
        <w:spacing w:line="360" w:lineRule="auto"/>
        <w:ind w:firstLine="480" w:firstLineChars="200"/>
        <w:rPr>
          <w:rFonts w:ascii="宋体" w:hAnsi="宋体"/>
          <w:sz w:val="24"/>
          <w:szCs w:val="24"/>
        </w:rPr>
      </w:pPr>
      <w:r>
        <w:rPr>
          <w:rFonts w:hint="eastAsia" w:ascii="宋体" w:hAnsi="宋体"/>
          <w:sz w:val="24"/>
          <w:szCs w:val="24"/>
        </w:rPr>
        <w:t>（五）除不可抗力等因素外，成交通知书发出后，采购人改变成交结果，或者成交供应商拒绝签订政府采购合同的，应当承担相应的法律责任。</w:t>
      </w:r>
    </w:p>
    <w:p>
      <w:pPr>
        <w:pStyle w:val="3"/>
        <w:pageBreakBefore/>
        <w:snapToGrid w:val="0"/>
        <w:spacing w:beforeLines="50" w:line="360" w:lineRule="auto"/>
        <w:jc w:val="center"/>
        <w:rPr>
          <w:rFonts w:ascii="宋体" w:hAnsi="宋体" w:eastAsia="宋体"/>
          <w:sz w:val="36"/>
          <w:szCs w:val="30"/>
        </w:rPr>
      </w:pPr>
      <w:bookmarkStart w:id="87" w:name="_Toc101697413"/>
      <w:r>
        <w:rPr>
          <w:rFonts w:hint="eastAsia" w:ascii="宋体" w:hAnsi="宋体" w:eastAsia="宋体"/>
          <w:sz w:val="36"/>
          <w:szCs w:val="30"/>
        </w:rPr>
        <w:t xml:space="preserve">第六篇  </w:t>
      </w:r>
      <w:bookmarkEnd w:id="85"/>
      <w:bookmarkEnd w:id="86"/>
      <w:r>
        <w:rPr>
          <w:rFonts w:hint="eastAsia" w:ascii="宋体" w:hAnsi="宋体" w:eastAsia="宋体"/>
          <w:sz w:val="36"/>
          <w:szCs w:val="30"/>
        </w:rPr>
        <w:t>合同草案条款</w:t>
      </w:r>
      <w:bookmarkEnd w:id="87"/>
    </w:p>
    <w:p>
      <w:pPr>
        <w:pStyle w:val="4"/>
        <w:spacing w:line="360" w:lineRule="auto"/>
        <w:ind w:firstLine="482" w:firstLineChars="200"/>
        <w:rPr>
          <w:rFonts w:ascii="宋体" w:hAnsi="宋体"/>
          <w:sz w:val="24"/>
          <w:szCs w:val="24"/>
        </w:rPr>
      </w:pPr>
      <w:bookmarkStart w:id="88" w:name="_Hlt41879464"/>
      <w:bookmarkEnd w:id="88"/>
      <w:bookmarkStart w:id="89" w:name="_Toc277084870"/>
      <w:bookmarkStart w:id="90" w:name="_Toc508007737"/>
      <w:bookmarkStart w:id="91" w:name="_Toc78194465"/>
      <w:bookmarkStart w:id="92" w:name="_Toc101697414"/>
      <w:bookmarkStart w:id="93" w:name="_Toc285722712"/>
      <w:bookmarkStart w:id="94" w:name="_Toc12789072"/>
      <w:r>
        <w:rPr>
          <w:rFonts w:hint="eastAsia" w:ascii="宋体" w:hAnsi="宋体"/>
          <w:sz w:val="24"/>
          <w:szCs w:val="24"/>
        </w:rPr>
        <w:t>一、合同主要条款</w:t>
      </w:r>
      <w:bookmarkEnd w:id="89"/>
      <w:bookmarkEnd w:id="90"/>
      <w:bookmarkEnd w:id="91"/>
      <w:bookmarkEnd w:id="92"/>
      <w:bookmarkEnd w:id="93"/>
    </w:p>
    <w:p>
      <w:pPr>
        <w:snapToGrid w:val="0"/>
        <w:spacing w:line="360" w:lineRule="auto"/>
        <w:ind w:firstLine="480" w:firstLineChars="200"/>
        <w:outlineLvl w:val="0"/>
        <w:rPr>
          <w:rFonts w:ascii="宋体" w:hAnsi="宋体"/>
          <w:bCs/>
          <w:sz w:val="24"/>
        </w:rPr>
      </w:pPr>
      <w:r>
        <w:rPr>
          <w:rFonts w:hint="eastAsia" w:ascii="宋体" w:hAnsi="宋体"/>
          <w:bCs/>
          <w:sz w:val="24"/>
        </w:rPr>
        <w:t>（一）定义</w:t>
      </w:r>
    </w:p>
    <w:p>
      <w:pPr>
        <w:snapToGrid w:val="0"/>
        <w:spacing w:line="360" w:lineRule="auto"/>
        <w:ind w:firstLine="480" w:firstLineChars="200"/>
        <w:outlineLvl w:val="0"/>
        <w:rPr>
          <w:rFonts w:ascii="宋体" w:hAnsi="宋体"/>
          <w:bCs/>
          <w:sz w:val="24"/>
        </w:rPr>
      </w:pPr>
      <w:r>
        <w:rPr>
          <w:rFonts w:hint="eastAsia" w:ascii="宋体" w:hAnsi="宋体"/>
          <w:bCs/>
          <w:sz w:val="24"/>
        </w:rPr>
        <w:t>1.甲方（需方）即采购人，是指通过采购，接受服务的各级国家机关、事业单位和团体组织。</w:t>
      </w:r>
    </w:p>
    <w:p>
      <w:pPr>
        <w:snapToGrid w:val="0"/>
        <w:spacing w:line="360" w:lineRule="auto"/>
        <w:ind w:firstLine="480" w:firstLineChars="200"/>
        <w:outlineLvl w:val="0"/>
        <w:rPr>
          <w:rFonts w:ascii="宋体" w:hAnsi="宋体"/>
          <w:bCs/>
          <w:sz w:val="24"/>
        </w:rPr>
      </w:pPr>
      <w:r>
        <w:rPr>
          <w:rFonts w:hint="eastAsia" w:ascii="宋体" w:hAnsi="宋体"/>
          <w:bCs/>
          <w:sz w:val="24"/>
        </w:rPr>
        <w:t>2.乙方（供方）即成交供应商，是指成交后提供服务的自然人、法人及其他组织。</w:t>
      </w:r>
    </w:p>
    <w:p>
      <w:pPr>
        <w:snapToGrid w:val="0"/>
        <w:spacing w:line="360" w:lineRule="auto"/>
        <w:ind w:firstLine="480" w:firstLineChars="200"/>
        <w:outlineLvl w:val="0"/>
        <w:rPr>
          <w:rFonts w:ascii="宋体" w:hAnsi="宋体"/>
          <w:bCs/>
          <w:sz w:val="24"/>
        </w:rPr>
      </w:pPr>
      <w:r>
        <w:rPr>
          <w:rFonts w:hint="eastAsia" w:ascii="宋体" w:hAnsi="宋体"/>
          <w:bCs/>
          <w:sz w:val="24"/>
        </w:rPr>
        <w:t>3.合同是指由甲乙双方按照采购文件和响应文件的实质性内容，通过协商一致达成的书面协议。</w:t>
      </w:r>
    </w:p>
    <w:p>
      <w:pPr>
        <w:snapToGrid w:val="0"/>
        <w:spacing w:line="360" w:lineRule="auto"/>
        <w:ind w:firstLine="480" w:firstLineChars="200"/>
        <w:outlineLvl w:val="0"/>
        <w:rPr>
          <w:rFonts w:ascii="宋体" w:hAnsi="宋体"/>
          <w:bCs/>
          <w:sz w:val="24"/>
        </w:rPr>
      </w:pPr>
      <w:r>
        <w:rPr>
          <w:rFonts w:hint="eastAsia" w:ascii="宋体" w:hAnsi="宋体"/>
          <w:bCs/>
          <w:sz w:val="24"/>
        </w:rPr>
        <w:t>4.合同价格指以成交价格为依据，在供方全面履行合同义务后，需方应支付给供方的金额。</w:t>
      </w:r>
    </w:p>
    <w:p>
      <w:pPr>
        <w:snapToGrid w:val="0"/>
        <w:spacing w:line="360" w:lineRule="auto"/>
        <w:ind w:firstLine="480" w:firstLineChars="200"/>
        <w:outlineLvl w:val="0"/>
        <w:rPr>
          <w:rFonts w:ascii="宋体" w:hAnsi="宋体"/>
          <w:bCs/>
          <w:sz w:val="24"/>
        </w:rPr>
      </w:pPr>
      <w:r>
        <w:rPr>
          <w:rFonts w:hint="eastAsia" w:ascii="宋体" w:hAnsi="宋体"/>
          <w:bCs/>
          <w:sz w:val="24"/>
        </w:rPr>
        <w:t>（二）服务内容</w:t>
      </w:r>
    </w:p>
    <w:p>
      <w:pPr>
        <w:snapToGrid w:val="0"/>
        <w:spacing w:line="360" w:lineRule="auto"/>
        <w:ind w:firstLine="480" w:firstLineChars="200"/>
        <w:outlineLvl w:val="0"/>
        <w:rPr>
          <w:rFonts w:ascii="宋体" w:hAnsi="宋体"/>
          <w:bCs/>
          <w:sz w:val="24"/>
        </w:rPr>
      </w:pPr>
      <w:r>
        <w:rPr>
          <w:rFonts w:hint="eastAsia" w:ascii="宋体" w:hAnsi="宋体"/>
          <w:bCs/>
          <w:sz w:val="24"/>
        </w:rPr>
        <w:t xml:space="preserve">合同包括以下服务内容： </w:t>
      </w:r>
    </w:p>
    <w:p>
      <w:pPr>
        <w:snapToGrid w:val="0"/>
        <w:spacing w:line="360" w:lineRule="auto"/>
        <w:ind w:firstLine="480" w:firstLineChars="200"/>
        <w:outlineLvl w:val="0"/>
        <w:rPr>
          <w:rFonts w:ascii="宋体" w:hAnsi="宋体"/>
          <w:bCs/>
          <w:sz w:val="24"/>
        </w:rPr>
      </w:pPr>
      <w:r>
        <w:rPr>
          <w:rFonts w:hint="eastAsia" w:ascii="宋体" w:hAnsi="宋体"/>
          <w:bCs/>
          <w:sz w:val="24"/>
        </w:rPr>
        <w:t>（三）合同价格</w:t>
      </w:r>
    </w:p>
    <w:p>
      <w:pPr>
        <w:snapToGrid w:val="0"/>
        <w:spacing w:line="360" w:lineRule="auto"/>
        <w:ind w:firstLine="480" w:firstLineChars="200"/>
        <w:outlineLvl w:val="0"/>
        <w:rPr>
          <w:rFonts w:ascii="宋体" w:hAnsi="宋体"/>
          <w:bCs/>
          <w:sz w:val="24"/>
        </w:rPr>
      </w:pPr>
      <w:r>
        <w:rPr>
          <w:rFonts w:hint="eastAsia" w:ascii="宋体" w:hAnsi="宋体"/>
          <w:bCs/>
          <w:sz w:val="24"/>
        </w:rPr>
        <w:t>1.合同价格即合同总价。</w:t>
      </w:r>
    </w:p>
    <w:p>
      <w:pPr>
        <w:snapToGrid w:val="0"/>
        <w:spacing w:line="360" w:lineRule="auto"/>
        <w:ind w:firstLine="480" w:firstLineChars="200"/>
        <w:outlineLvl w:val="0"/>
        <w:rPr>
          <w:rFonts w:ascii="宋体" w:hAnsi="宋体"/>
          <w:bCs/>
          <w:sz w:val="24"/>
        </w:rPr>
      </w:pPr>
      <w:r>
        <w:rPr>
          <w:rFonts w:hint="eastAsia" w:ascii="宋体" w:hAnsi="宋体"/>
          <w:bCs/>
          <w:sz w:val="24"/>
        </w:rPr>
        <w:t>2.合同价格</w:t>
      </w:r>
      <w:r>
        <w:rPr>
          <w:rFonts w:hint="eastAsia" w:ascii="宋体" w:hAnsi="宋体"/>
          <w:sz w:val="24"/>
          <w:szCs w:val="24"/>
        </w:rPr>
        <w:t>包括（</w:t>
      </w:r>
      <w:r>
        <w:rPr>
          <w:rFonts w:ascii="宋体" w:hAnsi="宋体"/>
          <w:sz w:val="24"/>
          <w:szCs w:val="24"/>
        </w:rPr>
        <w:t>但不限于</w:t>
      </w:r>
      <w:r>
        <w:rPr>
          <w:rFonts w:hint="eastAsia" w:ascii="宋体" w:hAnsi="宋体"/>
          <w:sz w:val="24"/>
          <w:szCs w:val="24"/>
        </w:rPr>
        <w:t>）</w:t>
      </w:r>
      <w:r>
        <w:rPr>
          <w:rFonts w:hint="eastAsia" w:ascii="宋体" w:hAnsi="宋体"/>
          <w:bCs/>
          <w:sz w:val="24"/>
        </w:rPr>
        <w:t>采购代理费、评标专家费（至少两名）、办公配套费、人工费、税费及其它与本项目相关的一切费用。</w:t>
      </w:r>
      <w:r>
        <w:rPr>
          <w:rFonts w:hint="eastAsia" w:ascii="宋体" w:hAnsi="宋体"/>
          <w:sz w:val="24"/>
          <w:szCs w:val="24"/>
        </w:rPr>
        <w:t>因乙方供应商自身原因造成漏报、少报皆由其自行承担责任，甲方不再补偿。</w:t>
      </w:r>
    </w:p>
    <w:p>
      <w:pPr>
        <w:snapToGrid w:val="0"/>
        <w:spacing w:line="360" w:lineRule="auto"/>
        <w:ind w:firstLine="480" w:firstLineChars="200"/>
        <w:outlineLvl w:val="0"/>
        <w:rPr>
          <w:rFonts w:ascii="宋体" w:hAnsi="宋体"/>
          <w:bCs/>
          <w:sz w:val="24"/>
        </w:rPr>
      </w:pPr>
      <w:r>
        <w:rPr>
          <w:rFonts w:hint="eastAsia" w:ascii="宋体" w:hAnsi="宋体"/>
          <w:bCs/>
          <w:sz w:val="24"/>
        </w:rPr>
        <w:t>3.合同价为不变价。</w:t>
      </w:r>
    </w:p>
    <w:p>
      <w:pPr>
        <w:snapToGrid w:val="0"/>
        <w:spacing w:line="360" w:lineRule="auto"/>
        <w:ind w:firstLine="480" w:firstLineChars="200"/>
        <w:outlineLvl w:val="0"/>
        <w:rPr>
          <w:rFonts w:ascii="宋体" w:hAnsi="宋体"/>
          <w:bCs/>
          <w:sz w:val="24"/>
        </w:rPr>
      </w:pPr>
      <w:r>
        <w:rPr>
          <w:rFonts w:hint="eastAsia" w:ascii="宋体" w:hAnsi="宋体"/>
          <w:bCs/>
          <w:sz w:val="24"/>
        </w:rPr>
        <w:t>（四）转包和分包</w:t>
      </w:r>
    </w:p>
    <w:p>
      <w:pPr>
        <w:snapToGrid w:val="0"/>
        <w:spacing w:line="360" w:lineRule="auto"/>
        <w:ind w:firstLine="480" w:firstLineChars="200"/>
        <w:outlineLvl w:val="0"/>
        <w:rPr>
          <w:rFonts w:ascii="宋体" w:hAnsi="宋体"/>
          <w:bCs/>
          <w:sz w:val="24"/>
        </w:rPr>
      </w:pPr>
      <w:r>
        <w:rPr>
          <w:rFonts w:hint="eastAsia" w:ascii="宋体" w:hAnsi="宋体"/>
          <w:bCs/>
          <w:sz w:val="24"/>
        </w:rPr>
        <w:t>1.本合同范围的所有服务工作，应由乙方直接提供，不得转让他人提供。</w:t>
      </w:r>
    </w:p>
    <w:p>
      <w:pPr>
        <w:snapToGrid w:val="0"/>
        <w:spacing w:line="360" w:lineRule="auto"/>
        <w:ind w:firstLine="480" w:firstLineChars="200"/>
        <w:outlineLvl w:val="0"/>
        <w:rPr>
          <w:rFonts w:ascii="宋体" w:hAnsi="宋体"/>
          <w:bCs/>
          <w:sz w:val="24"/>
        </w:rPr>
      </w:pPr>
      <w:r>
        <w:rPr>
          <w:rFonts w:hint="eastAsia" w:ascii="宋体" w:hAnsi="宋体"/>
          <w:bCs/>
          <w:sz w:val="24"/>
        </w:rPr>
        <w:t>2.非经甲方书面同意，乙方不得将本合同范围的服务工作全部或部分转包给他人提供。</w:t>
      </w:r>
    </w:p>
    <w:p>
      <w:pPr>
        <w:snapToGrid w:val="0"/>
        <w:spacing w:line="360" w:lineRule="auto"/>
        <w:ind w:firstLine="480" w:firstLineChars="200"/>
        <w:outlineLvl w:val="0"/>
        <w:rPr>
          <w:rFonts w:ascii="宋体" w:hAnsi="宋体"/>
          <w:bCs/>
          <w:sz w:val="24"/>
        </w:rPr>
      </w:pPr>
      <w:r>
        <w:rPr>
          <w:rFonts w:hint="eastAsia" w:ascii="宋体" w:hAnsi="宋体"/>
          <w:bCs/>
          <w:sz w:val="24"/>
        </w:rPr>
        <w:t>3.如有转包和未经甲方同意的分包行为，甲方有权解除合同，没收履约保证金（若有）并追究乙方的违约责任。</w:t>
      </w:r>
    </w:p>
    <w:p>
      <w:pPr>
        <w:adjustRightInd w:val="0"/>
        <w:snapToGrid w:val="0"/>
        <w:spacing w:line="360" w:lineRule="auto"/>
        <w:ind w:firstLine="480" w:firstLineChars="200"/>
        <w:rPr>
          <w:rFonts w:ascii="宋体" w:hAnsi="宋体"/>
          <w:sz w:val="24"/>
        </w:rPr>
      </w:pPr>
      <w:r>
        <w:rPr>
          <w:rFonts w:hint="eastAsia" w:ascii="宋体" w:hAnsi="宋体"/>
          <w:bCs/>
          <w:sz w:val="24"/>
        </w:rPr>
        <w:t>（五）质量保证及售后服务</w:t>
      </w:r>
    </w:p>
    <w:p>
      <w:pPr>
        <w:adjustRightInd w:val="0"/>
        <w:snapToGrid w:val="0"/>
        <w:spacing w:line="360" w:lineRule="auto"/>
        <w:ind w:firstLine="480" w:firstLineChars="200"/>
        <w:rPr>
          <w:rFonts w:ascii="宋体" w:hAnsi="宋体"/>
          <w:sz w:val="24"/>
        </w:rPr>
      </w:pPr>
      <w:r>
        <w:rPr>
          <w:rFonts w:hint="eastAsia" w:ascii="宋体" w:hAnsi="宋体"/>
          <w:sz w:val="24"/>
        </w:rPr>
        <w:t>1.乙方应按采购文件规定要求向甲方提供服务。</w:t>
      </w:r>
    </w:p>
    <w:p>
      <w:pPr>
        <w:adjustRightInd w:val="0"/>
        <w:snapToGrid w:val="0"/>
        <w:spacing w:line="360" w:lineRule="auto"/>
        <w:ind w:firstLine="480" w:firstLineChars="200"/>
        <w:rPr>
          <w:rFonts w:ascii="宋体" w:hAnsi="宋体"/>
          <w:sz w:val="24"/>
        </w:rPr>
      </w:pPr>
      <w:r>
        <w:rPr>
          <w:rFonts w:hint="eastAsia" w:ascii="宋体" w:hAnsi="宋体"/>
          <w:sz w:val="24"/>
        </w:rPr>
        <w:t>2.在服务期内，乙方应对服务质量负责。</w:t>
      </w:r>
    </w:p>
    <w:p>
      <w:pPr>
        <w:adjustRightInd w:val="0"/>
        <w:snapToGrid w:val="0"/>
        <w:spacing w:line="360" w:lineRule="auto"/>
        <w:ind w:firstLine="480" w:firstLineChars="200"/>
        <w:rPr>
          <w:rFonts w:ascii="宋体" w:hAnsi="宋体"/>
          <w:sz w:val="24"/>
        </w:rPr>
      </w:pPr>
      <w:r>
        <w:rPr>
          <w:rFonts w:hint="eastAsia" w:ascii="宋体" w:hAnsi="宋体"/>
          <w:sz w:val="24"/>
        </w:rPr>
        <w:t>3.如甲方要求乙方提供履约保证金的，履约保证金的收取和退还应按本项目采购文件第三篇“项目商务需求”的要求处理。</w:t>
      </w:r>
    </w:p>
    <w:p>
      <w:pPr>
        <w:adjustRightInd w:val="0"/>
        <w:snapToGrid w:val="0"/>
        <w:spacing w:line="360" w:lineRule="auto"/>
        <w:ind w:firstLine="480" w:firstLineChars="200"/>
        <w:rPr>
          <w:rFonts w:ascii="宋体" w:hAnsi="宋体"/>
          <w:sz w:val="24"/>
        </w:rPr>
      </w:pPr>
      <w:r>
        <w:rPr>
          <w:rFonts w:hint="eastAsia" w:ascii="宋体" w:hAnsi="宋体"/>
          <w:sz w:val="24"/>
        </w:rPr>
        <w:t>（六）付款</w:t>
      </w:r>
    </w:p>
    <w:p>
      <w:pPr>
        <w:adjustRightInd w:val="0"/>
        <w:snapToGrid w:val="0"/>
        <w:spacing w:line="360" w:lineRule="auto"/>
        <w:ind w:firstLine="480" w:firstLineChars="200"/>
        <w:rPr>
          <w:rFonts w:ascii="宋体" w:hAnsi="宋体"/>
          <w:sz w:val="24"/>
        </w:rPr>
      </w:pPr>
      <w:r>
        <w:rPr>
          <w:rFonts w:hint="eastAsia" w:ascii="宋体" w:hAnsi="宋体"/>
          <w:sz w:val="24"/>
        </w:rPr>
        <w:t>1.本合同使用货币币制如未作特别说明均为人民币。</w:t>
      </w:r>
    </w:p>
    <w:p>
      <w:pPr>
        <w:adjustRightInd w:val="0"/>
        <w:snapToGrid w:val="0"/>
        <w:spacing w:line="360" w:lineRule="auto"/>
        <w:ind w:firstLine="480" w:firstLineChars="200"/>
        <w:rPr>
          <w:rFonts w:ascii="宋体" w:hAnsi="宋体"/>
          <w:sz w:val="24"/>
        </w:rPr>
      </w:pPr>
      <w:r>
        <w:rPr>
          <w:rFonts w:hint="eastAsia" w:ascii="宋体" w:hAnsi="宋体"/>
          <w:sz w:val="24"/>
        </w:rPr>
        <w:t>2.付款方式：银行转账、现金支票。</w:t>
      </w:r>
    </w:p>
    <w:p>
      <w:pPr>
        <w:adjustRightInd w:val="0"/>
        <w:snapToGrid w:val="0"/>
        <w:spacing w:line="360" w:lineRule="auto"/>
        <w:ind w:firstLine="480" w:firstLineChars="200"/>
        <w:rPr>
          <w:rFonts w:ascii="宋体" w:hAnsi="宋体"/>
          <w:sz w:val="24"/>
        </w:rPr>
      </w:pPr>
      <w:r>
        <w:rPr>
          <w:rFonts w:hint="eastAsia" w:ascii="宋体" w:hAnsi="宋体"/>
          <w:sz w:val="24"/>
        </w:rPr>
        <w:t>3.付款方法：参照本项目采购文件第三篇“项目商务需求”中关于付款方式的约定。</w:t>
      </w:r>
    </w:p>
    <w:p>
      <w:pPr>
        <w:adjustRightInd w:val="0"/>
        <w:snapToGrid w:val="0"/>
        <w:spacing w:line="360" w:lineRule="auto"/>
        <w:ind w:firstLine="480" w:firstLineChars="200"/>
        <w:rPr>
          <w:rFonts w:ascii="宋体" w:hAnsi="宋体"/>
          <w:sz w:val="24"/>
        </w:rPr>
      </w:pPr>
      <w:r>
        <w:rPr>
          <w:rFonts w:hint="eastAsia" w:ascii="宋体" w:hAnsi="宋体"/>
          <w:sz w:val="24"/>
        </w:rPr>
        <w:t>（七）检查验收</w:t>
      </w:r>
    </w:p>
    <w:p>
      <w:pPr>
        <w:adjustRightInd w:val="0"/>
        <w:snapToGrid w:val="0"/>
        <w:spacing w:line="360" w:lineRule="auto"/>
        <w:ind w:firstLine="480" w:firstLineChars="200"/>
        <w:rPr>
          <w:rFonts w:ascii="宋体" w:hAnsi="宋体"/>
          <w:sz w:val="24"/>
        </w:rPr>
      </w:pPr>
      <w:r>
        <w:rPr>
          <w:rFonts w:hint="eastAsia" w:ascii="宋体" w:hAnsi="宋体"/>
          <w:sz w:val="24"/>
        </w:rPr>
        <w:t>（八）索赔</w:t>
      </w:r>
    </w:p>
    <w:p>
      <w:pPr>
        <w:adjustRightInd w:val="0"/>
        <w:snapToGrid w:val="0"/>
        <w:spacing w:line="360" w:lineRule="auto"/>
        <w:ind w:firstLine="480" w:firstLineChars="200"/>
        <w:rPr>
          <w:rFonts w:ascii="宋体" w:hAnsi="宋体"/>
          <w:sz w:val="24"/>
        </w:rPr>
      </w:pPr>
      <w:r>
        <w:rPr>
          <w:rFonts w:hint="eastAsia" w:ascii="宋体" w:hAnsi="宋体"/>
          <w:sz w:val="24"/>
        </w:rPr>
        <w:t>供方对服务与合同要求不符负有责任，并且需方已于规定服务内和质量保证期内提出索赔，供方应按需方同意的下述一种或多种方法解决索赔事宜。</w:t>
      </w:r>
    </w:p>
    <w:p>
      <w:pPr>
        <w:adjustRightInd w:val="0"/>
        <w:snapToGrid w:val="0"/>
        <w:spacing w:line="360" w:lineRule="auto"/>
        <w:ind w:firstLine="480" w:firstLineChars="200"/>
        <w:rPr>
          <w:rFonts w:ascii="宋体" w:hAnsi="宋体"/>
          <w:sz w:val="24"/>
        </w:rPr>
      </w:pPr>
      <w:r>
        <w:rPr>
          <w:rFonts w:hint="eastAsia" w:ascii="宋体" w:hAnsi="宋体"/>
          <w:sz w:val="24"/>
        </w:rPr>
        <w:t>（九）知识产权</w:t>
      </w:r>
    </w:p>
    <w:p>
      <w:pPr>
        <w:adjustRightInd w:val="0"/>
        <w:snapToGrid w:val="0"/>
        <w:spacing w:line="360" w:lineRule="auto"/>
        <w:ind w:firstLine="480" w:firstLineChars="200"/>
        <w:rPr>
          <w:rFonts w:ascii="宋体" w:hAnsi="宋体"/>
          <w:sz w:val="24"/>
        </w:rPr>
      </w:pPr>
      <w:r>
        <w:rPr>
          <w:rFonts w:hint="eastAsia" w:ascii="宋体" w:hAnsi="宋体" w:cs="宋体"/>
          <w:kern w:val="0"/>
          <w:sz w:val="24"/>
          <w:szCs w:val="24"/>
        </w:rPr>
        <w:t>甲方在中华人民共和国境内使用乙方提供的服务时免受第三方提出的侵犯其专利权或其它知识产权的起诉。如果第三方提出侵权指控，乙方应承担由此而引起的一切法律责任和费用。</w:t>
      </w:r>
    </w:p>
    <w:p>
      <w:pPr>
        <w:snapToGrid w:val="0"/>
        <w:spacing w:line="360" w:lineRule="auto"/>
        <w:ind w:firstLine="480" w:firstLineChars="200"/>
        <w:outlineLvl w:val="0"/>
        <w:rPr>
          <w:rFonts w:ascii="宋体" w:hAnsi="宋体"/>
          <w:bCs/>
          <w:sz w:val="24"/>
        </w:rPr>
      </w:pPr>
      <w:r>
        <w:rPr>
          <w:rFonts w:hint="eastAsia" w:ascii="宋体" w:hAnsi="宋体"/>
          <w:bCs/>
          <w:sz w:val="24"/>
        </w:rPr>
        <w:t>（十）合同争议的解决</w:t>
      </w:r>
    </w:p>
    <w:p>
      <w:pPr>
        <w:snapToGrid w:val="0"/>
        <w:spacing w:line="360" w:lineRule="auto"/>
        <w:ind w:firstLine="480" w:firstLineChars="200"/>
        <w:outlineLvl w:val="0"/>
        <w:rPr>
          <w:rFonts w:ascii="宋体" w:hAnsi="宋体"/>
          <w:bCs/>
          <w:sz w:val="24"/>
        </w:rPr>
      </w:pPr>
      <w:r>
        <w:rPr>
          <w:rFonts w:hint="eastAsia" w:ascii="宋体" w:hAnsi="宋体"/>
          <w:bCs/>
          <w:sz w:val="24"/>
        </w:rPr>
        <w:t>1.当事人友好协商达成一致；</w:t>
      </w:r>
    </w:p>
    <w:p>
      <w:pPr>
        <w:snapToGrid w:val="0"/>
        <w:spacing w:line="360" w:lineRule="auto"/>
        <w:ind w:firstLine="480" w:firstLineChars="200"/>
        <w:outlineLvl w:val="0"/>
        <w:rPr>
          <w:rFonts w:ascii="宋体" w:hAnsi="宋体"/>
          <w:bCs/>
          <w:sz w:val="24"/>
        </w:rPr>
      </w:pPr>
      <w:r>
        <w:rPr>
          <w:rFonts w:hint="eastAsia" w:ascii="宋体" w:hAnsi="宋体"/>
          <w:bCs/>
          <w:sz w:val="24"/>
        </w:rPr>
        <w:t>2.在60天内当事人协商不能达成协议的，可提请采购人当地仲裁机构仲裁。</w:t>
      </w:r>
    </w:p>
    <w:p>
      <w:pPr>
        <w:snapToGrid w:val="0"/>
        <w:spacing w:line="360" w:lineRule="auto"/>
        <w:ind w:firstLine="480" w:firstLineChars="200"/>
        <w:outlineLvl w:val="0"/>
        <w:rPr>
          <w:rFonts w:ascii="宋体" w:hAnsi="宋体"/>
          <w:bCs/>
          <w:sz w:val="24"/>
        </w:rPr>
      </w:pPr>
      <w:r>
        <w:rPr>
          <w:rFonts w:hint="eastAsia" w:ascii="宋体" w:hAnsi="宋体"/>
          <w:bCs/>
          <w:sz w:val="24"/>
        </w:rPr>
        <w:t>（十一）违约责任</w:t>
      </w:r>
    </w:p>
    <w:p>
      <w:pPr>
        <w:snapToGrid w:val="0"/>
        <w:spacing w:line="360" w:lineRule="auto"/>
        <w:ind w:firstLine="480" w:firstLineChars="200"/>
        <w:outlineLvl w:val="0"/>
        <w:rPr>
          <w:rFonts w:ascii="宋体" w:hAnsi="宋体"/>
          <w:bCs/>
          <w:sz w:val="24"/>
        </w:rPr>
      </w:pPr>
      <w:r>
        <w:rPr>
          <w:rFonts w:hint="eastAsia" w:ascii="宋体" w:hAnsi="宋体"/>
          <w:bCs/>
          <w:sz w:val="24"/>
        </w:rPr>
        <w:t>按《中华人民共和国民法典》、《中华人民共和国政府采购法》有关条款，或由供需双方约定。</w:t>
      </w:r>
    </w:p>
    <w:p>
      <w:pPr>
        <w:snapToGrid w:val="0"/>
        <w:spacing w:line="360" w:lineRule="auto"/>
        <w:ind w:firstLine="480" w:firstLineChars="200"/>
        <w:outlineLvl w:val="0"/>
        <w:rPr>
          <w:rFonts w:ascii="宋体" w:hAnsi="宋体"/>
          <w:bCs/>
          <w:sz w:val="24"/>
        </w:rPr>
      </w:pPr>
      <w:r>
        <w:rPr>
          <w:rFonts w:hint="eastAsia" w:ascii="宋体" w:hAnsi="宋体"/>
          <w:bCs/>
          <w:sz w:val="24"/>
        </w:rPr>
        <w:t>（十二）合同生效及其它</w:t>
      </w:r>
    </w:p>
    <w:p>
      <w:pPr>
        <w:snapToGrid w:val="0"/>
        <w:spacing w:line="360" w:lineRule="auto"/>
        <w:ind w:firstLine="480" w:firstLineChars="200"/>
        <w:outlineLvl w:val="0"/>
        <w:rPr>
          <w:rFonts w:ascii="宋体" w:hAnsi="宋体"/>
          <w:bCs/>
          <w:sz w:val="24"/>
        </w:rPr>
      </w:pPr>
      <w:r>
        <w:rPr>
          <w:rFonts w:hint="eastAsia" w:ascii="宋体" w:hAnsi="宋体"/>
          <w:bCs/>
          <w:sz w:val="24"/>
        </w:rPr>
        <w:t>1.合同生效及其效力应符合《中华人民共和国民法典》有关规定。</w:t>
      </w:r>
    </w:p>
    <w:p>
      <w:pPr>
        <w:snapToGrid w:val="0"/>
        <w:spacing w:line="360" w:lineRule="auto"/>
        <w:ind w:firstLine="480" w:firstLineChars="200"/>
        <w:outlineLvl w:val="0"/>
        <w:rPr>
          <w:rFonts w:ascii="宋体" w:hAnsi="宋体"/>
          <w:bCs/>
          <w:sz w:val="24"/>
        </w:rPr>
      </w:pPr>
      <w:r>
        <w:rPr>
          <w:rFonts w:hint="eastAsia" w:ascii="宋体" w:hAnsi="宋体"/>
          <w:bCs/>
          <w:sz w:val="24"/>
        </w:rPr>
        <w:t>2.合同应经当事人法定代表人或委托代理人签字，加盖双方合同专用章或公章。</w:t>
      </w:r>
    </w:p>
    <w:p>
      <w:pPr>
        <w:snapToGrid w:val="0"/>
        <w:spacing w:line="360" w:lineRule="auto"/>
        <w:ind w:firstLine="480" w:firstLineChars="200"/>
        <w:outlineLvl w:val="0"/>
        <w:rPr>
          <w:rFonts w:ascii="宋体" w:hAnsi="宋体"/>
          <w:bCs/>
          <w:sz w:val="24"/>
        </w:rPr>
      </w:pPr>
      <w:r>
        <w:rPr>
          <w:rFonts w:hint="eastAsia" w:ascii="宋体" w:hAnsi="宋体"/>
          <w:bCs/>
          <w:sz w:val="24"/>
        </w:rPr>
        <w:t>3.合同所包括附件，是合同不可分割的一部分，具有同等法法律效力。</w:t>
      </w:r>
    </w:p>
    <w:p>
      <w:pPr>
        <w:snapToGrid w:val="0"/>
        <w:spacing w:line="360" w:lineRule="auto"/>
        <w:ind w:firstLine="480" w:firstLineChars="200"/>
        <w:outlineLvl w:val="0"/>
        <w:rPr>
          <w:rFonts w:ascii="宋体" w:hAnsi="宋体"/>
          <w:bCs/>
          <w:sz w:val="24"/>
        </w:rPr>
      </w:pPr>
      <w:r>
        <w:rPr>
          <w:rFonts w:hint="eastAsia" w:ascii="宋体" w:hAnsi="宋体"/>
          <w:bCs/>
          <w:sz w:val="24"/>
        </w:rPr>
        <w:t>4.本合同条件未尽事宜依照《中华人民共和国民法典》，由供需双方共同协商确定。</w:t>
      </w:r>
    </w:p>
    <w:p>
      <w:pPr>
        <w:snapToGrid w:val="0"/>
        <w:spacing w:line="360" w:lineRule="auto"/>
        <w:jc w:val="center"/>
        <w:outlineLvl w:val="0"/>
        <w:rPr>
          <w:rFonts w:ascii="宋体" w:hAnsi="宋体"/>
          <w:sz w:val="44"/>
        </w:rPr>
        <w:sectPr>
          <w:pgSz w:w="11907" w:h="16840"/>
          <w:pgMar w:top="1134" w:right="1191" w:bottom="1134" w:left="1191" w:header="964" w:footer="992" w:gutter="0"/>
          <w:pgNumType w:fmt="numberInDash"/>
          <w:cols w:space="720" w:num="1"/>
          <w:docGrid w:linePitch="312" w:charSpace="0"/>
        </w:sectPr>
      </w:pPr>
    </w:p>
    <w:p>
      <w:pPr>
        <w:pStyle w:val="4"/>
        <w:spacing w:line="360" w:lineRule="auto"/>
        <w:ind w:firstLine="482" w:firstLineChars="200"/>
        <w:rPr>
          <w:rFonts w:ascii="宋体" w:hAnsi="宋体"/>
          <w:sz w:val="24"/>
          <w:szCs w:val="24"/>
        </w:rPr>
      </w:pPr>
      <w:bookmarkStart w:id="95" w:name="_Toc285722713"/>
      <w:bookmarkStart w:id="96" w:name="_Toc101697415"/>
      <w:bookmarkStart w:id="97" w:name="_Toc277084871"/>
      <w:bookmarkStart w:id="98" w:name="_Toc508178250"/>
      <w:r>
        <w:rPr>
          <w:rFonts w:hint="eastAsia" w:ascii="宋体" w:hAnsi="宋体"/>
          <w:sz w:val="24"/>
          <w:szCs w:val="24"/>
        </w:rPr>
        <w:t>二、政府采购合同（格式）</w:t>
      </w:r>
      <w:bookmarkEnd w:id="95"/>
      <w:bookmarkEnd w:id="96"/>
      <w:bookmarkEnd w:id="97"/>
      <w:bookmarkEnd w:id="98"/>
    </w:p>
    <w:p>
      <w:pPr>
        <w:spacing w:line="500" w:lineRule="exact"/>
        <w:jc w:val="center"/>
        <w:rPr>
          <w:rFonts w:ascii="宋体" w:hAnsi="宋体"/>
          <w:b/>
          <w:sz w:val="44"/>
        </w:rPr>
      </w:pPr>
    </w:p>
    <w:p>
      <w:pPr>
        <w:spacing w:line="360" w:lineRule="auto"/>
        <w:jc w:val="center"/>
        <w:rPr>
          <w:rFonts w:ascii="宋体" w:hAnsi="宋体"/>
          <w:b/>
          <w:sz w:val="44"/>
        </w:rPr>
      </w:pPr>
      <w:r>
        <w:rPr>
          <w:rFonts w:ascii="宋体" w:hAnsi="宋体"/>
          <w:b/>
          <w:sz w:val="44"/>
        </w:rPr>
        <w:t>重庆市政府采购合同</w:t>
      </w:r>
    </w:p>
    <w:p>
      <w:pPr>
        <w:spacing w:line="360" w:lineRule="auto"/>
        <w:jc w:val="center"/>
        <w:rPr>
          <w:rFonts w:ascii="宋体" w:hAnsi="宋体"/>
        </w:rPr>
      </w:pPr>
    </w:p>
    <w:p>
      <w:pPr>
        <w:spacing w:line="360" w:lineRule="auto"/>
        <w:rPr>
          <w:rFonts w:ascii="宋体" w:hAnsi="宋体"/>
          <w:sz w:val="24"/>
        </w:rPr>
      </w:pPr>
      <w:r>
        <w:rPr>
          <w:rFonts w:ascii="宋体" w:hAnsi="宋体"/>
          <w:sz w:val="24"/>
        </w:rPr>
        <w:t>甲方（需方）：___________________________</w:t>
      </w:r>
    </w:p>
    <w:p>
      <w:pPr>
        <w:spacing w:line="360" w:lineRule="auto"/>
        <w:rPr>
          <w:rFonts w:ascii="宋体" w:hAnsi="宋体"/>
          <w:sz w:val="24"/>
        </w:rPr>
      </w:pPr>
      <w:r>
        <w:rPr>
          <w:rFonts w:ascii="宋体" w:hAnsi="宋体"/>
          <w:sz w:val="24"/>
        </w:rPr>
        <w:t>乙方（供方）：___________________________</w:t>
      </w:r>
    </w:p>
    <w:p>
      <w:pPr>
        <w:spacing w:line="360" w:lineRule="auto"/>
        <w:rPr>
          <w:rFonts w:ascii="宋体" w:hAnsi="宋体"/>
          <w:sz w:val="24"/>
        </w:rPr>
      </w:pPr>
    </w:p>
    <w:p>
      <w:pPr>
        <w:spacing w:line="360" w:lineRule="auto"/>
        <w:rPr>
          <w:rFonts w:ascii="宋体" w:hAnsi="宋体"/>
          <w:sz w:val="24"/>
        </w:rPr>
      </w:pPr>
      <w:r>
        <w:rPr>
          <w:rFonts w:ascii="宋体" w:hAnsi="宋体"/>
          <w:sz w:val="24"/>
        </w:rPr>
        <w:t>经双方协商一致，达成以下购销合同：</w:t>
      </w:r>
    </w:p>
    <w:tbl>
      <w:tblPr>
        <w:tblStyle w:val="5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1432"/>
        <w:gridCol w:w="567"/>
        <w:gridCol w:w="2268"/>
        <w:gridCol w:w="2275"/>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3071" w:type="dxa"/>
            <w:noWrap/>
            <w:vAlign w:val="center"/>
          </w:tcPr>
          <w:p>
            <w:pPr>
              <w:snapToGrid w:val="0"/>
              <w:jc w:val="center"/>
              <w:rPr>
                <w:rFonts w:ascii="宋体" w:hAnsi="宋体"/>
                <w:sz w:val="21"/>
                <w:szCs w:val="21"/>
              </w:rPr>
            </w:pPr>
            <w:r>
              <w:rPr>
                <w:rFonts w:hint="eastAsia" w:ascii="宋体" w:hAnsi="宋体"/>
                <w:sz w:val="21"/>
                <w:szCs w:val="21"/>
              </w:rPr>
              <w:t>项目内容</w:t>
            </w:r>
          </w:p>
        </w:tc>
        <w:tc>
          <w:tcPr>
            <w:tcW w:w="1999" w:type="dxa"/>
            <w:gridSpan w:val="2"/>
            <w:noWrap/>
            <w:vAlign w:val="center"/>
          </w:tcPr>
          <w:p>
            <w:pPr>
              <w:snapToGrid w:val="0"/>
              <w:jc w:val="center"/>
              <w:rPr>
                <w:rFonts w:ascii="宋体" w:hAnsi="宋体"/>
                <w:sz w:val="21"/>
                <w:szCs w:val="21"/>
              </w:rPr>
            </w:pPr>
            <w:r>
              <w:rPr>
                <w:rFonts w:ascii="宋体" w:hAnsi="宋体"/>
                <w:sz w:val="21"/>
                <w:szCs w:val="21"/>
              </w:rPr>
              <w:t>总价</w:t>
            </w:r>
          </w:p>
        </w:tc>
        <w:tc>
          <w:tcPr>
            <w:tcW w:w="2268" w:type="dxa"/>
            <w:noWrap/>
            <w:vAlign w:val="center"/>
          </w:tcPr>
          <w:p>
            <w:pPr>
              <w:snapToGrid w:val="0"/>
              <w:jc w:val="center"/>
              <w:rPr>
                <w:rFonts w:ascii="宋体" w:hAnsi="宋体"/>
                <w:sz w:val="21"/>
                <w:szCs w:val="21"/>
              </w:rPr>
            </w:pPr>
            <w:r>
              <w:rPr>
                <w:rFonts w:hint="eastAsia" w:ascii="宋体" w:hAnsi="宋体"/>
                <w:sz w:val="21"/>
                <w:szCs w:val="21"/>
              </w:rPr>
              <w:t>服务</w:t>
            </w:r>
            <w:r>
              <w:rPr>
                <w:rFonts w:ascii="宋体" w:hAnsi="宋体"/>
                <w:sz w:val="21"/>
                <w:szCs w:val="21"/>
              </w:rPr>
              <w:t>时间</w:t>
            </w:r>
          </w:p>
        </w:tc>
        <w:tc>
          <w:tcPr>
            <w:tcW w:w="2275" w:type="dxa"/>
            <w:noWrap/>
            <w:vAlign w:val="center"/>
          </w:tcPr>
          <w:p>
            <w:pPr>
              <w:snapToGrid w:val="0"/>
              <w:jc w:val="center"/>
              <w:rPr>
                <w:rFonts w:ascii="宋体" w:hAnsi="宋体"/>
                <w:sz w:val="21"/>
                <w:szCs w:val="21"/>
              </w:rPr>
            </w:pPr>
            <w:r>
              <w:rPr>
                <w:rFonts w:hint="eastAsia" w:ascii="宋体" w:hAnsi="宋体"/>
                <w:sz w:val="21"/>
                <w:szCs w:val="21"/>
              </w:rPr>
              <w:t>服务</w:t>
            </w:r>
            <w:r>
              <w:rPr>
                <w:rFonts w:ascii="宋体" w:hAnsi="宋体"/>
                <w:sz w:val="21"/>
                <w:szCs w:val="21"/>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85" w:hRule="atLeast"/>
        </w:trPr>
        <w:tc>
          <w:tcPr>
            <w:tcW w:w="3071" w:type="dxa"/>
            <w:noWrap/>
            <w:vAlign w:val="center"/>
          </w:tcPr>
          <w:p>
            <w:pPr>
              <w:snapToGrid w:val="0"/>
              <w:jc w:val="center"/>
              <w:rPr>
                <w:rFonts w:ascii="宋体" w:hAnsi="宋体"/>
                <w:sz w:val="21"/>
                <w:szCs w:val="21"/>
              </w:rPr>
            </w:pPr>
          </w:p>
        </w:tc>
        <w:tc>
          <w:tcPr>
            <w:tcW w:w="1999" w:type="dxa"/>
            <w:gridSpan w:val="2"/>
            <w:noWrap/>
            <w:vAlign w:val="center"/>
          </w:tcPr>
          <w:p>
            <w:pPr>
              <w:snapToGrid w:val="0"/>
              <w:jc w:val="center"/>
              <w:rPr>
                <w:rFonts w:ascii="宋体" w:hAnsi="宋体"/>
                <w:sz w:val="21"/>
                <w:szCs w:val="21"/>
              </w:rPr>
            </w:pPr>
          </w:p>
        </w:tc>
        <w:tc>
          <w:tcPr>
            <w:tcW w:w="2268" w:type="dxa"/>
            <w:noWrap/>
            <w:vAlign w:val="center"/>
          </w:tcPr>
          <w:p>
            <w:pPr>
              <w:snapToGrid w:val="0"/>
              <w:jc w:val="center"/>
              <w:rPr>
                <w:rFonts w:ascii="宋体" w:hAnsi="宋体"/>
                <w:sz w:val="21"/>
                <w:szCs w:val="21"/>
              </w:rPr>
            </w:pPr>
          </w:p>
        </w:tc>
        <w:tc>
          <w:tcPr>
            <w:tcW w:w="2275" w:type="dxa"/>
            <w:noWrap/>
            <w:vAlign w:val="center"/>
          </w:tcPr>
          <w:p>
            <w:pPr>
              <w:snapToGrid w:val="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85" w:hRule="atLeast"/>
        </w:trPr>
        <w:tc>
          <w:tcPr>
            <w:tcW w:w="3071" w:type="dxa"/>
            <w:noWrap/>
            <w:vAlign w:val="center"/>
          </w:tcPr>
          <w:p>
            <w:pPr>
              <w:snapToGrid w:val="0"/>
              <w:jc w:val="center"/>
              <w:rPr>
                <w:rFonts w:ascii="宋体" w:hAnsi="宋体"/>
                <w:sz w:val="21"/>
                <w:szCs w:val="21"/>
              </w:rPr>
            </w:pPr>
          </w:p>
        </w:tc>
        <w:tc>
          <w:tcPr>
            <w:tcW w:w="1999" w:type="dxa"/>
            <w:gridSpan w:val="2"/>
            <w:noWrap/>
            <w:vAlign w:val="center"/>
          </w:tcPr>
          <w:p>
            <w:pPr>
              <w:snapToGrid w:val="0"/>
              <w:jc w:val="center"/>
              <w:rPr>
                <w:rFonts w:ascii="宋体" w:hAnsi="宋体"/>
                <w:sz w:val="21"/>
                <w:szCs w:val="21"/>
              </w:rPr>
            </w:pPr>
          </w:p>
        </w:tc>
        <w:tc>
          <w:tcPr>
            <w:tcW w:w="2268" w:type="dxa"/>
            <w:noWrap/>
            <w:vAlign w:val="center"/>
          </w:tcPr>
          <w:p>
            <w:pPr>
              <w:snapToGrid w:val="0"/>
              <w:jc w:val="center"/>
              <w:rPr>
                <w:rFonts w:ascii="宋体" w:hAnsi="宋体"/>
                <w:sz w:val="21"/>
                <w:szCs w:val="21"/>
              </w:rPr>
            </w:pPr>
          </w:p>
        </w:tc>
        <w:tc>
          <w:tcPr>
            <w:tcW w:w="2275" w:type="dxa"/>
            <w:noWrap/>
            <w:vAlign w:val="center"/>
          </w:tcPr>
          <w:p>
            <w:pPr>
              <w:snapToGrid w:val="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85" w:hRule="atLeast"/>
        </w:trPr>
        <w:tc>
          <w:tcPr>
            <w:tcW w:w="3071" w:type="dxa"/>
            <w:noWrap/>
            <w:vAlign w:val="center"/>
          </w:tcPr>
          <w:p>
            <w:pPr>
              <w:snapToGrid w:val="0"/>
              <w:jc w:val="center"/>
              <w:rPr>
                <w:rFonts w:ascii="宋体" w:hAnsi="宋体"/>
                <w:sz w:val="21"/>
                <w:szCs w:val="21"/>
              </w:rPr>
            </w:pPr>
          </w:p>
        </w:tc>
        <w:tc>
          <w:tcPr>
            <w:tcW w:w="1999" w:type="dxa"/>
            <w:gridSpan w:val="2"/>
            <w:noWrap/>
            <w:vAlign w:val="center"/>
          </w:tcPr>
          <w:p>
            <w:pPr>
              <w:snapToGrid w:val="0"/>
              <w:jc w:val="center"/>
              <w:rPr>
                <w:rFonts w:ascii="宋体" w:hAnsi="宋体"/>
                <w:sz w:val="21"/>
                <w:szCs w:val="21"/>
              </w:rPr>
            </w:pPr>
          </w:p>
        </w:tc>
        <w:tc>
          <w:tcPr>
            <w:tcW w:w="2268" w:type="dxa"/>
            <w:noWrap/>
            <w:vAlign w:val="center"/>
          </w:tcPr>
          <w:p>
            <w:pPr>
              <w:snapToGrid w:val="0"/>
              <w:jc w:val="center"/>
              <w:rPr>
                <w:rFonts w:ascii="宋体" w:hAnsi="宋体"/>
                <w:sz w:val="21"/>
                <w:szCs w:val="21"/>
              </w:rPr>
            </w:pPr>
          </w:p>
        </w:tc>
        <w:tc>
          <w:tcPr>
            <w:tcW w:w="2275" w:type="dxa"/>
            <w:noWrap/>
            <w:vAlign w:val="center"/>
          </w:tcPr>
          <w:p>
            <w:pPr>
              <w:snapToGrid w:val="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5"/>
            <w:noWrap/>
            <w:vAlign w:val="center"/>
          </w:tcPr>
          <w:p>
            <w:pPr>
              <w:snapToGrid w:val="0"/>
              <w:rPr>
                <w:rFonts w:ascii="宋体" w:hAnsi="宋体"/>
                <w:sz w:val="21"/>
                <w:szCs w:val="21"/>
              </w:rPr>
            </w:pPr>
            <w:r>
              <w:rPr>
                <w:rFonts w:ascii="宋体" w:hAnsi="宋体"/>
                <w:sz w:val="21"/>
                <w:szCs w:val="21"/>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5"/>
            <w:noWrap/>
            <w:vAlign w:val="center"/>
          </w:tcPr>
          <w:p>
            <w:pPr>
              <w:snapToGrid w:val="0"/>
              <w:rPr>
                <w:rFonts w:ascii="宋体" w:hAnsi="宋体"/>
                <w:sz w:val="21"/>
                <w:szCs w:val="21"/>
              </w:rPr>
            </w:pPr>
            <w:r>
              <w:rPr>
                <w:rFonts w:ascii="宋体" w:hAnsi="宋体"/>
                <w:sz w:val="21"/>
                <w:szCs w:val="21"/>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5"/>
            <w:noWrap/>
          </w:tcPr>
          <w:p>
            <w:pPr>
              <w:snapToGrid w:val="0"/>
              <w:rPr>
                <w:rFonts w:ascii="宋体" w:hAnsi="宋体"/>
                <w:sz w:val="21"/>
                <w:szCs w:val="21"/>
              </w:rPr>
            </w:pPr>
            <w:r>
              <w:rPr>
                <w:rFonts w:ascii="宋体" w:hAnsi="宋体"/>
                <w:sz w:val="21"/>
                <w:szCs w:val="21"/>
              </w:rPr>
              <w:t>一、</w:t>
            </w:r>
            <w:r>
              <w:rPr>
                <w:rFonts w:hint="eastAsia" w:ascii="宋体" w:hAnsi="宋体"/>
                <w:sz w:val="21"/>
                <w:szCs w:val="21"/>
              </w:rPr>
              <w:t>合同价</w:t>
            </w:r>
          </w:p>
          <w:p>
            <w:pPr>
              <w:snapToGrid w:val="0"/>
              <w:rPr>
                <w:rFonts w:ascii="宋体" w:hAnsi="宋体"/>
                <w:sz w:val="21"/>
                <w:szCs w:val="21"/>
              </w:rPr>
            </w:pPr>
            <w:r>
              <w:rPr>
                <w:rFonts w:hint="eastAsia" w:ascii="宋体" w:hAnsi="宋体"/>
                <w:sz w:val="21"/>
                <w:szCs w:val="21"/>
              </w:rPr>
              <w:t>1. 合同价包括（但不限于）采购代理费、评标专家费（至少两名）、办公配套费、人工费、税费及其它与本项目相关的一切费用。甲方除此以外不支付其它费用。</w:t>
            </w:r>
          </w:p>
          <w:p>
            <w:pPr>
              <w:snapToGrid w:val="0"/>
              <w:rPr>
                <w:rFonts w:ascii="宋体" w:hAnsi="宋体"/>
                <w:sz w:val="21"/>
                <w:szCs w:val="21"/>
              </w:rPr>
            </w:pPr>
            <w:r>
              <w:rPr>
                <w:rFonts w:hint="eastAsia" w:ascii="宋体" w:hAnsi="宋体"/>
                <w:sz w:val="21"/>
                <w:szCs w:val="21"/>
              </w:rPr>
              <w:t>2.如果乙方交付的成果达不到甲方要求需要更改的，更改涉及的所有费用由乙方自行承担，甲方将不再另行支付任何费用。</w:t>
            </w:r>
          </w:p>
          <w:p>
            <w:pPr>
              <w:snapToGrid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6"/>
            <w:noWrap/>
          </w:tcPr>
          <w:p>
            <w:pPr>
              <w:snapToGrid w:val="0"/>
              <w:rPr>
                <w:rFonts w:ascii="宋体" w:hAnsi="宋体"/>
                <w:sz w:val="21"/>
                <w:szCs w:val="21"/>
              </w:rPr>
            </w:pPr>
            <w:r>
              <w:rPr>
                <w:rFonts w:hint="eastAsia" w:ascii="宋体" w:hAnsi="宋体"/>
                <w:sz w:val="21"/>
                <w:szCs w:val="21"/>
              </w:rPr>
              <w:t>二</w:t>
            </w:r>
            <w:r>
              <w:rPr>
                <w:rFonts w:ascii="宋体" w:hAnsi="宋体"/>
                <w:sz w:val="21"/>
                <w:szCs w:val="21"/>
              </w:rPr>
              <w:t>、</w:t>
            </w:r>
            <w:r>
              <w:rPr>
                <w:rFonts w:hint="eastAsia" w:ascii="宋体" w:hAnsi="宋体"/>
                <w:sz w:val="21"/>
                <w:szCs w:val="21"/>
              </w:rPr>
              <w:t>服务内容</w:t>
            </w:r>
            <w:r>
              <w:rPr>
                <w:rFonts w:ascii="宋体" w:hAnsi="宋体"/>
                <w:sz w:val="21"/>
                <w:szCs w:val="21"/>
              </w:rPr>
              <w:t>：</w:t>
            </w:r>
          </w:p>
          <w:p>
            <w:pPr>
              <w:snapToGrid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6"/>
            <w:noWrap/>
          </w:tcPr>
          <w:p>
            <w:pPr>
              <w:snapToGrid w:val="0"/>
              <w:rPr>
                <w:rFonts w:ascii="宋体" w:hAnsi="宋体"/>
                <w:sz w:val="21"/>
                <w:szCs w:val="21"/>
              </w:rPr>
            </w:pPr>
            <w:r>
              <w:rPr>
                <w:rFonts w:hint="eastAsia" w:ascii="宋体" w:hAnsi="宋体"/>
                <w:sz w:val="21"/>
                <w:szCs w:val="21"/>
              </w:rPr>
              <w:t>三</w:t>
            </w:r>
            <w:r>
              <w:rPr>
                <w:rFonts w:ascii="宋体" w:hAnsi="宋体"/>
                <w:sz w:val="21"/>
                <w:szCs w:val="21"/>
              </w:rPr>
              <w:t>、</w:t>
            </w:r>
            <w:r>
              <w:rPr>
                <w:rFonts w:hint="eastAsia" w:ascii="宋体" w:hAnsi="宋体"/>
                <w:sz w:val="21"/>
                <w:szCs w:val="21"/>
              </w:rPr>
              <w:t>服务要求</w:t>
            </w:r>
            <w:r>
              <w:rPr>
                <w:rFonts w:ascii="宋体" w:hAnsi="宋体"/>
                <w:sz w:val="21"/>
                <w:szCs w:val="21"/>
              </w:rPr>
              <w:t>：</w:t>
            </w:r>
          </w:p>
          <w:p>
            <w:pPr>
              <w:pStyle w:val="33"/>
              <w:snapToGrid w:val="0"/>
              <w:ind w:left="98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6"/>
            <w:noWrap/>
          </w:tcPr>
          <w:p>
            <w:pPr>
              <w:snapToGrid w:val="0"/>
              <w:rPr>
                <w:rFonts w:ascii="宋体" w:hAnsi="宋体"/>
                <w:sz w:val="21"/>
                <w:szCs w:val="21"/>
              </w:rPr>
            </w:pPr>
            <w:r>
              <w:rPr>
                <w:rFonts w:hint="eastAsia" w:ascii="宋体" w:hAnsi="宋体"/>
                <w:sz w:val="21"/>
                <w:szCs w:val="21"/>
              </w:rPr>
              <w:t>四</w:t>
            </w:r>
            <w:r>
              <w:rPr>
                <w:rFonts w:ascii="宋体" w:hAnsi="宋体"/>
                <w:sz w:val="21"/>
                <w:szCs w:val="21"/>
              </w:rPr>
              <w:t>、</w:t>
            </w:r>
            <w:r>
              <w:rPr>
                <w:rFonts w:hint="eastAsia" w:ascii="宋体" w:hAnsi="宋体"/>
                <w:sz w:val="21"/>
                <w:szCs w:val="21"/>
              </w:rPr>
              <w:t>保密要求</w:t>
            </w:r>
            <w:r>
              <w:rPr>
                <w:rFonts w:ascii="宋体" w:hAnsi="宋体"/>
                <w:sz w:val="21"/>
                <w:szCs w:val="21"/>
              </w:rPr>
              <w:t>：</w:t>
            </w:r>
          </w:p>
          <w:p>
            <w:pPr>
              <w:snapToGrid w:val="0"/>
              <w:rPr>
                <w:rFonts w:ascii="宋体" w:hAnsi="宋体"/>
                <w:sz w:val="21"/>
                <w:szCs w:val="21"/>
              </w:rPr>
            </w:pPr>
            <w:r>
              <w:rPr>
                <w:rFonts w:hint="eastAsia" w:ascii="宋体" w:hAnsi="宋体"/>
                <w:sz w:val="21"/>
                <w:szCs w:val="21"/>
              </w:rPr>
              <w:t>乙方在本项目执行过程中应对所获悉的所资料进行保密，未经甲方允许不得随意公布、不得转交给第三方。乙方若有违反按保密规定的，甲方有权终止合同；情节严重的，甲方还将权追究其相关法律责任。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9628" w:type="dxa"/>
            <w:gridSpan w:val="6"/>
            <w:noWrap/>
          </w:tcPr>
          <w:p>
            <w:pPr>
              <w:snapToGrid w:val="0"/>
              <w:rPr>
                <w:rFonts w:ascii="宋体" w:hAnsi="宋体"/>
                <w:sz w:val="21"/>
                <w:szCs w:val="21"/>
              </w:rPr>
            </w:pPr>
            <w:r>
              <w:rPr>
                <w:rFonts w:hint="eastAsia" w:ascii="宋体" w:hAnsi="宋体"/>
                <w:sz w:val="21"/>
                <w:szCs w:val="21"/>
              </w:rPr>
              <w:t>五</w:t>
            </w:r>
            <w:r>
              <w:rPr>
                <w:rFonts w:ascii="宋体" w:hAnsi="宋体"/>
                <w:sz w:val="21"/>
                <w:szCs w:val="21"/>
              </w:rPr>
              <w:t>、</w:t>
            </w:r>
            <w:r>
              <w:rPr>
                <w:rFonts w:hint="eastAsia" w:ascii="宋体" w:hAnsi="宋体"/>
                <w:sz w:val="21"/>
                <w:szCs w:val="21"/>
              </w:rPr>
              <w:t>验收方式</w:t>
            </w:r>
            <w:r>
              <w:rPr>
                <w:rFonts w:ascii="宋体" w:hAnsi="宋体"/>
                <w:sz w:val="21"/>
                <w:szCs w:val="21"/>
              </w:rPr>
              <w:t>：</w:t>
            </w:r>
          </w:p>
          <w:p>
            <w:pPr>
              <w:snapToGrid w:val="0"/>
              <w:rPr>
                <w:rFonts w:ascii="宋体" w:hAnsi="宋体"/>
                <w:sz w:val="21"/>
                <w:szCs w:val="21"/>
              </w:rPr>
            </w:pPr>
            <w:r>
              <w:rPr>
                <w:rFonts w:hint="eastAsia" w:ascii="宋体" w:hAnsi="宋体"/>
                <w:sz w:val="21"/>
                <w:szCs w:val="21"/>
              </w:rPr>
              <w:t>1．验收单位：</w:t>
            </w:r>
          </w:p>
          <w:p>
            <w:pPr>
              <w:snapToGrid w:val="0"/>
              <w:rPr>
                <w:rFonts w:ascii="宋体" w:hAnsi="宋体"/>
                <w:sz w:val="21"/>
                <w:szCs w:val="21"/>
              </w:rPr>
            </w:pPr>
            <w:r>
              <w:rPr>
                <w:rFonts w:hint="eastAsia" w:ascii="宋体" w:hAnsi="宋体"/>
                <w:sz w:val="21"/>
                <w:szCs w:val="21"/>
              </w:rPr>
              <w:t>2．验收标准：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628" w:type="dxa"/>
            <w:gridSpan w:val="6"/>
            <w:noWrap/>
          </w:tcPr>
          <w:p>
            <w:pPr>
              <w:snapToGrid w:val="0"/>
              <w:rPr>
                <w:rFonts w:ascii="宋体" w:hAnsi="宋体"/>
                <w:sz w:val="21"/>
                <w:szCs w:val="21"/>
              </w:rPr>
            </w:pPr>
            <w:r>
              <w:rPr>
                <w:rFonts w:hint="eastAsia" w:ascii="宋体" w:hAnsi="宋体"/>
                <w:sz w:val="21"/>
                <w:szCs w:val="21"/>
              </w:rPr>
              <w:t>六、付款方式</w:t>
            </w:r>
          </w:p>
          <w:p>
            <w:pPr>
              <w:snapToGrid w:val="0"/>
              <w:rPr>
                <w:rFonts w:ascii="宋体" w:hAnsi="宋体"/>
                <w:sz w:val="21"/>
                <w:szCs w:val="21"/>
              </w:rPr>
            </w:pPr>
            <w:r>
              <w:rPr>
                <w:rFonts w:hint="eastAsia" w:ascii="宋体" w:hAnsi="宋体"/>
                <w:sz w:val="21"/>
                <w:szCs w:val="21"/>
              </w:rPr>
              <w:t>甲方不向乙方支付任何款项，待后续进行项目采购代理时，由项目中标人向乙方支付采购代理服务费。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628" w:type="dxa"/>
            <w:gridSpan w:val="6"/>
            <w:noWrap/>
          </w:tcPr>
          <w:p>
            <w:pPr>
              <w:snapToGrid w:val="0"/>
              <w:rPr>
                <w:rFonts w:ascii="宋体" w:hAnsi="宋体"/>
                <w:sz w:val="21"/>
                <w:szCs w:val="21"/>
              </w:rPr>
            </w:pPr>
            <w:r>
              <w:rPr>
                <w:rFonts w:hint="eastAsia" w:ascii="宋体" w:hAnsi="宋体"/>
                <w:sz w:val="21"/>
                <w:szCs w:val="21"/>
              </w:rPr>
              <w:t>七、知识产权：</w:t>
            </w:r>
          </w:p>
          <w:p>
            <w:pPr>
              <w:snapToGrid w:val="0"/>
              <w:rPr>
                <w:rFonts w:ascii="宋体" w:hAnsi="宋体"/>
                <w:sz w:val="21"/>
                <w:szCs w:val="21"/>
              </w:rPr>
            </w:pPr>
            <w:r>
              <w:rPr>
                <w:rFonts w:hint="eastAsia" w:ascii="宋体" w:hAnsi="宋体"/>
                <w:sz w:val="21"/>
                <w:szCs w:val="21"/>
              </w:rPr>
              <w:t>甲方在中华人民共和国境内使用乙方提供的货物及服务时免受第三方提出的侵犯其专利权或其它知识产权的起诉。如果第三方提出侵权指控，乙方应承担由此而引起的一切法律责任和费用。</w:t>
            </w:r>
          </w:p>
          <w:p>
            <w:pPr>
              <w:snapToGrid w:val="0"/>
              <w:rPr>
                <w:rFonts w:ascii="宋体" w:hAnsi="宋体"/>
                <w:sz w:val="21"/>
                <w:szCs w:val="21"/>
              </w:rPr>
            </w:pPr>
            <w:r>
              <w:rPr>
                <w:rFonts w:hint="eastAsia" w:ascii="宋体" w:hAnsi="宋体"/>
                <w:sz w:val="21"/>
                <w:szCs w:val="21"/>
              </w:rPr>
              <w:t>八、违约责任：</w:t>
            </w:r>
          </w:p>
          <w:p>
            <w:pPr>
              <w:snapToGrid w:val="0"/>
              <w:rPr>
                <w:rFonts w:ascii="宋体" w:hAnsi="宋体"/>
                <w:sz w:val="21"/>
                <w:szCs w:val="21"/>
              </w:rPr>
            </w:pPr>
            <w:r>
              <w:rPr>
                <w:rFonts w:hint="eastAsia" w:ascii="宋体" w:hAnsi="宋体"/>
                <w:sz w:val="21"/>
                <w:szCs w:val="21"/>
              </w:rPr>
              <w:t>按《民法典》、《政府采购法》执行，或按双方约定。(采购人应按项目实际情况完整填写)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trPr>
        <w:tc>
          <w:tcPr>
            <w:tcW w:w="9628" w:type="dxa"/>
            <w:gridSpan w:val="6"/>
            <w:noWrap/>
          </w:tcPr>
          <w:p>
            <w:pPr>
              <w:snapToGrid w:val="0"/>
              <w:rPr>
                <w:rFonts w:ascii="宋体" w:hAnsi="宋体"/>
                <w:sz w:val="21"/>
                <w:szCs w:val="21"/>
              </w:rPr>
            </w:pPr>
            <w:r>
              <w:rPr>
                <w:rFonts w:hint="eastAsia" w:ascii="宋体" w:hAnsi="宋体"/>
                <w:sz w:val="21"/>
                <w:szCs w:val="21"/>
              </w:rPr>
              <w:t>九、其他约定事项：</w:t>
            </w:r>
          </w:p>
          <w:p>
            <w:pPr>
              <w:snapToGrid w:val="0"/>
              <w:rPr>
                <w:rFonts w:ascii="宋体" w:hAnsi="宋体"/>
                <w:sz w:val="21"/>
                <w:szCs w:val="21"/>
              </w:rPr>
            </w:pPr>
            <w:r>
              <w:rPr>
                <w:rFonts w:hint="eastAsia" w:ascii="宋体" w:hAnsi="宋体"/>
                <w:sz w:val="21"/>
                <w:szCs w:val="21"/>
              </w:rPr>
              <w:t>1.采购文件及其补遗文件、响应文件和承诺是本合同不可分割的部分。</w:t>
            </w:r>
          </w:p>
          <w:p>
            <w:pPr>
              <w:snapToGrid w:val="0"/>
              <w:rPr>
                <w:rFonts w:ascii="宋体" w:hAnsi="宋体"/>
                <w:sz w:val="21"/>
                <w:szCs w:val="21"/>
              </w:rPr>
            </w:pPr>
            <w:r>
              <w:rPr>
                <w:rFonts w:hint="eastAsia" w:ascii="宋体" w:hAnsi="宋体"/>
                <w:sz w:val="21"/>
                <w:szCs w:val="21"/>
              </w:rPr>
              <w:t>2.本合同如发生争议由双方协商解决，协商不成向需方所在人民法院提请诉讼。</w:t>
            </w:r>
          </w:p>
          <w:p>
            <w:pPr>
              <w:snapToGrid w:val="0"/>
              <w:rPr>
                <w:rFonts w:ascii="宋体" w:hAnsi="宋体"/>
                <w:sz w:val="21"/>
                <w:szCs w:val="21"/>
              </w:rPr>
            </w:pPr>
            <w:r>
              <w:rPr>
                <w:rFonts w:hint="eastAsia" w:ascii="宋体" w:hAnsi="宋体"/>
                <w:sz w:val="21"/>
                <w:szCs w:val="21"/>
              </w:rPr>
              <w:t>3.本合同一式 贰 份，甲乙双方各 壹 份，具备同等法律效力。</w:t>
            </w:r>
          </w:p>
          <w:p>
            <w:pPr>
              <w:snapToGrid w:val="0"/>
              <w:rPr>
                <w:rFonts w:ascii="宋体" w:hAnsi="宋体"/>
                <w:sz w:val="21"/>
                <w:szCs w:val="21"/>
              </w:rPr>
            </w:pPr>
            <w:r>
              <w:rPr>
                <w:rFonts w:hint="eastAsia" w:ascii="宋体" w:hAnsi="宋体"/>
                <w:sz w:val="21"/>
                <w:szCs w:val="21"/>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2"/>
            <w:noWrap/>
          </w:tcPr>
          <w:p>
            <w:pPr>
              <w:snapToGrid w:val="0"/>
              <w:rPr>
                <w:rFonts w:ascii="宋体" w:hAnsi="宋体"/>
                <w:sz w:val="21"/>
                <w:szCs w:val="21"/>
              </w:rPr>
            </w:pPr>
            <w:r>
              <w:rPr>
                <w:rFonts w:ascii="宋体" w:hAnsi="宋体"/>
                <w:sz w:val="21"/>
                <w:szCs w:val="21"/>
              </w:rPr>
              <w:t>需方：</w:t>
            </w:r>
          </w:p>
          <w:p>
            <w:pPr>
              <w:snapToGrid w:val="0"/>
              <w:rPr>
                <w:rFonts w:ascii="宋体" w:hAnsi="宋体"/>
                <w:sz w:val="21"/>
                <w:szCs w:val="21"/>
              </w:rPr>
            </w:pPr>
            <w:r>
              <w:rPr>
                <w:rFonts w:ascii="宋体" w:hAnsi="宋体"/>
                <w:sz w:val="21"/>
                <w:szCs w:val="21"/>
              </w:rPr>
              <w:t>地址：</w:t>
            </w:r>
          </w:p>
          <w:p>
            <w:pPr>
              <w:snapToGrid w:val="0"/>
              <w:rPr>
                <w:rFonts w:ascii="宋体" w:hAnsi="宋体"/>
                <w:sz w:val="21"/>
                <w:szCs w:val="21"/>
              </w:rPr>
            </w:pPr>
            <w:r>
              <w:rPr>
                <w:rFonts w:ascii="宋体" w:hAnsi="宋体"/>
                <w:sz w:val="21"/>
                <w:szCs w:val="21"/>
              </w:rPr>
              <w:t>联系电话：</w:t>
            </w:r>
          </w:p>
          <w:p>
            <w:pPr>
              <w:snapToGrid w:val="0"/>
              <w:rPr>
                <w:rFonts w:ascii="宋体" w:hAnsi="宋体"/>
                <w:sz w:val="21"/>
                <w:szCs w:val="21"/>
              </w:rPr>
            </w:pPr>
            <w:r>
              <w:rPr>
                <w:rFonts w:ascii="宋体" w:hAnsi="宋体"/>
                <w:sz w:val="21"/>
                <w:szCs w:val="21"/>
              </w:rPr>
              <w:t>授权代表：</w:t>
            </w:r>
          </w:p>
        </w:tc>
        <w:tc>
          <w:tcPr>
            <w:tcW w:w="5125" w:type="dxa"/>
            <w:gridSpan w:val="4"/>
            <w:noWrap/>
          </w:tcPr>
          <w:p>
            <w:pPr>
              <w:snapToGrid w:val="0"/>
              <w:rPr>
                <w:rFonts w:ascii="宋体" w:hAnsi="宋体"/>
                <w:sz w:val="21"/>
                <w:szCs w:val="21"/>
              </w:rPr>
            </w:pPr>
            <w:r>
              <w:rPr>
                <w:rFonts w:ascii="宋体" w:hAnsi="宋体"/>
                <w:sz w:val="21"/>
                <w:szCs w:val="21"/>
              </w:rPr>
              <w:t>供方：</w:t>
            </w:r>
          </w:p>
          <w:p>
            <w:pPr>
              <w:snapToGrid w:val="0"/>
              <w:rPr>
                <w:rFonts w:ascii="宋体" w:hAnsi="宋体"/>
                <w:sz w:val="21"/>
                <w:szCs w:val="21"/>
              </w:rPr>
            </w:pPr>
            <w:r>
              <w:rPr>
                <w:rFonts w:ascii="宋体" w:hAnsi="宋体"/>
                <w:sz w:val="21"/>
                <w:szCs w:val="21"/>
              </w:rPr>
              <w:t>地址：</w:t>
            </w:r>
          </w:p>
          <w:p>
            <w:pPr>
              <w:snapToGrid w:val="0"/>
              <w:rPr>
                <w:rFonts w:ascii="宋体" w:hAnsi="宋体"/>
                <w:sz w:val="21"/>
                <w:szCs w:val="21"/>
              </w:rPr>
            </w:pPr>
            <w:r>
              <w:rPr>
                <w:rFonts w:ascii="宋体" w:hAnsi="宋体"/>
                <w:sz w:val="21"/>
                <w:szCs w:val="21"/>
              </w:rPr>
              <w:t>电话：</w:t>
            </w:r>
          </w:p>
          <w:p>
            <w:pPr>
              <w:snapToGrid w:val="0"/>
              <w:rPr>
                <w:rFonts w:ascii="宋体" w:hAnsi="宋体"/>
                <w:sz w:val="21"/>
                <w:szCs w:val="21"/>
              </w:rPr>
            </w:pPr>
            <w:r>
              <w:rPr>
                <w:rFonts w:ascii="宋体" w:hAnsi="宋体"/>
                <w:sz w:val="21"/>
                <w:szCs w:val="21"/>
              </w:rPr>
              <w:t>传真：</w:t>
            </w:r>
          </w:p>
          <w:p>
            <w:pPr>
              <w:snapToGrid w:val="0"/>
              <w:rPr>
                <w:rFonts w:ascii="宋体" w:hAnsi="宋体"/>
                <w:sz w:val="21"/>
                <w:szCs w:val="21"/>
              </w:rPr>
            </w:pPr>
            <w:r>
              <w:rPr>
                <w:rFonts w:ascii="宋体" w:hAnsi="宋体"/>
                <w:sz w:val="21"/>
                <w:szCs w:val="21"/>
              </w:rPr>
              <w:t>开户银行：</w:t>
            </w:r>
          </w:p>
          <w:p>
            <w:pPr>
              <w:snapToGrid w:val="0"/>
              <w:rPr>
                <w:rFonts w:ascii="宋体" w:hAnsi="宋体"/>
                <w:sz w:val="21"/>
                <w:szCs w:val="21"/>
              </w:rPr>
            </w:pPr>
            <w:r>
              <w:rPr>
                <w:rFonts w:ascii="宋体" w:hAnsi="宋体"/>
                <w:sz w:val="21"/>
                <w:szCs w:val="21"/>
              </w:rPr>
              <w:t>账号：</w:t>
            </w:r>
          </w:p>
          <w:p>
            <w:pPr>
              <w:snapToGrid w:val="0"/>
              <w:rPr>
                <w:rFonts w:ascii="宋体" w:hAnsi="宋体"/>
                <w:sz w:val="21"/>
                <w:szCs w:val="21"/>
              </w:rPr>
            </w:pPr>
            <w:r>
              <w:rPr>
                <w:rFonts w:ascii="宋体" w:hAnsi="宋体"/>
                <w:sz w:val="21"/>
                <w:szCs w:val="21"/>
              </w:rPr>
              <w:t>授权代表：</w:t>
            </w:r>
          </w:p>
          <w:p>
            <w:pPr>
              <w:widowControl/>
              <w:snapToGrid w:val="0"/>
              <w:jc w:val="left"/>
              <w:rPr>
                <w:rFonts w:ascii="宋体" w:hAnsi="宋体"/>
                <w:sz w:val="21"/>
                <w:szCs w:val="21"/>
              </w:rPr>
            </w:pPr>
            <w:r>
              <w:rPr>
                <w:rFonts w:ascii="宋体" w:hAnsi="宋体"/>
                <w:sz w:val="21"/>
                <w:szCs w:val="21"/>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6"/>
            <w:noWrap/>
          </w:tcPr>
          <w:p>
            <w:pPr>
              <w:snapToGrid w:val="0"/>
              <w:rPr>
                <w:rFonts w:ascii="宋体" w:hAnsi="宋体"/>
                <w:sz w:val="21"/>
                <w:szCs w:val="21"/>
              </w:rPr>
            </w:pPr>
            <w:r>
              <w:rPr>
                <w:rFonts w:ascii="宋体" w:hAnsi="宋体"/>
                <w:sz w:val="21"/>
                <w:szCs w:val="21"/>
              </w:rPr>
              <w:t>备注：</w:t>
            </w:r>
          </w:p>
          <w:p>
            <w:pPr>
              <w:snapToGrid w:val="0"/>
              <w:rPr>
                <w:rFonts w:ascii="宋体" w:hAnsi="宋体"/>
                <w:sz w:val="21"/>
                <w:szCs w:val="21"/>
              </w:rPr>
            </w:pPr>
          </w:p>
          <w:p>
            <w:pPr>
              <w:snapToGrid w:val="0"/>
              <w:rPr>
                <w:rFonts w:ascii="宋体" w:hAnsi="宋体"/>
                <w:sz w:val="21"/>
                <w:szCs w:val="21"/>
              </w:rPr>
            </w:pPr>
          </w:p>
        </w:tc>
      </w:tr>
    </w:tbl>
    <w:p>
      <w:pPr>
        <w:spacing w:line="500" w:lineRule="exact"/>
        <w:ind w:firstLine="480" w:firstLineChars="200"/>
        <w:rPr>
          <w:rFonts w:ascii="宋体" w:hAnsi="宋体"/>
          <w:sz w:val="24"/>
        </w:rPr>
      </w:pPr>
      <w:r>
        <w:rPr>
          <w:rFonts w:ascii="宋体" w:hAnsi="宋体"/>
          <w:sz w:val="24"/>
        </w:rPr>
        <w:t>签约时间：           年   月   日      签约地点：</w:t>
      </w:r>
    </w:p>
    <w:bookmarkEnd w:id="94"/>
    <w:p>
      <w:pPr>
        <w:pageBreakBefore/>
        <w:spacing w:line="500" w:lineRule="exact"/>
        <w:rPr>
          <w:rFonts w:ascii="宋体" w:hAnsi="宋体"/>
          <w:sz w:val="24"/>
        </w:rPr>
        <w:sectPr>
          <w:pgSz w:w="11907" w:h="16840"/>
          <w:pgMar w:top="1134" w:right="1191" w:bottom="1134" w:left="1191" w:header="851" w:footer="992" w:gutter="0"/>
          <w:pgNumType w:fmt="numberInDash"/>
          <w:cols w:space="720" w:num="1"/>
          <w:docGrid w:linePitch="380" w:charSpace="-5735"/>
        </w:sectPr>
      </w:pPr>
      <w:bookmarkStart w:id="99" w:name="_Toc23764521"/>
    </w:p>
    <w:p>
      <w:pPr>
        <w:pStyle w:val="3"/>
        <w:pageBreakBefore/>
        <w:snapToGrid w:val="0"/>
        <w:spacing w:beforeLines="50" w:line="360" w:lineRule="auto"/>
        <w:jc w:val="center"/>
        <w:rPr>
          <w:rFonts w:ascii="宋体" w:hAnsi="宋体" w:eastAsia="宋体"/>
          <w:sz w:val="36"/>
          <w:szCs w:val="30"/>
        </w:rPr>
      </w:pPr>
      <w:bookmarkStart w:id="100" w:name="_Toc101697416"/>
      <w:r>
        <w:rPr>
          <w:rFonts w:ascii="宋体" w:hAnsi="宋体" w:eastAsia="宋体"/>
          <w:sz w:val="36"/>
          <w:szCs w:val="30"/>
        </w:rPr>
        <w:t>第七篇  响应文件编制要求</w:t>
      </w:r>
      <w:bookmarkEnd w:id="99"/>
      <w:bookmarkEnd w:id="100"/>
    </w:p>
    <w:p>
      <w:pPr>
        <w:pStyle w:val="4"/>
        <w:spacing w:line="360" w:lineRule="auto"/>
        <w:ind w:firstLine="482" w:firstLineChars="200"/>
        <w:rPr>
          <w:rFonts w:ascii="宋体" w:hAnsi="宋体"/>
          <w:sz w:val="24"/>
          <w:szCs w:val="24"/>
        </w:rPr>
      </w:pPr>
      <w:bookmarkStart w:id="101" w:name="_Toc101697417"/>
      <w:r>
        <w:rPr>
          <w:rFonts w:ascii="宋体" w:hAnsi="宋体"/>
          <w:sz w:val="24"/>
          <w:szCs w:val="24"/>
        </w:rPr>
        <w:t>一、经济</w:t>
      </w:r>
      <w:r>
        <w:rPr>
          <w:rFonts w:hint="eastAsia" w:ascii="宋体" w:hAnsi="宋体"/>
          <w:sz w:val="24"/>
          <w:szCs w:val="24"/>
        </w:rPr>
        <w:t>部分</w:t>
      </w:r>
      <w:bookmarkEnd w:id="101"/>
    </w:p>
    <w:p>
      <w:pPr>
        <w:snapToGrid w:val="0"/>
        <w:spacing w:line="360" w:lineRule="auto"/>
        <w:ind w:firstLine="480" w:firstLineChars="200"/>
        <w:rPr>
          <w:sz w:val="24"/>
          <w:szCs w:val="24"/>
        </w:rPr>
      </w:pPr>
      <w:r>
        <w:rPr>
          <w:sz w:val="24"/>
          <w:szCs w:val="24"/>
        </w:rPr>
        <w:t>（一）竞争性磋商报价函</w:t>
      </w:r>
    </w:p>
    <w:p>
      <w:pPr>
        <w:pStyle w:val="4"/>
        <w:spacing w:line="360" w:lineRule="auto"/>
        <w:ind w:firstLine="482" w:firstLineChars="200"/>
        <w:rPr>
          <w:rFonts w:ascii="宋体" w:hAnsi="宋体"/>
          <w:sz w:val="24"/>
          <w:szCs w:val="24"/>
        </w:rPr>
      </w:pPr>
      <w:bookmarkStart w:id="102" w:name="_Toc78194469"/>
      <w:bookmarkStart w:id="103" w:name="_Toc101697418"/>
      <w:r>
        <w:rPr>
          <w:rFonts w:hint="eastAsia" w:ascii="宋体" w:hAnsi="宋体"/>
          <w:sz w:val="24"/>
          <w:szCs w:val="24"/>
        </w:rPr>
        <w:t>二、</w:t>
      </w:r>
      <w:bookmarkEnd w:id="102"/>
      <w:r>
        <w:rPr>
          <w:rFonts w:hint="eastAsia" w:ascii="宋体" w:hAnsi="宋体"/>
          <w:sz w:val="24"/>
          <w:szCs w:val="24"/>
        </w:rPr>
        <w:t>服务部分</w:t>
      </w:r>
      <w:bookmarkEnd w:id="103"/>
    </w:p>
    <w:p>
      <w:pPr>
        <w:snapToGrid w:val="0"/>
        <w:spacing w:line="360" w:lineRule="auto"/>
        <w:ind w:firstLine="480" w:firstLineChars="200"/>
        <w:rPr>
          <w:rFonts w:ascii="宋体" w:hAnsi="宋体"/>
          <w:sz w:val="24"/>
          <w:szCs w:val="24"/>
        </w:rPr>
      </w:pPr>
      <w:r>
        <w:rPr>
          <w:rFonts w:hint="eastAsia" w:ascii="宋体" w:hAnsi="宋体"/>
          <w:sz w:val="24"/>
          <w:szCs w:val="24"/>
        </w:rPr>
        <w:t>（一）服务方案</w:t>
      </w:r>
    </w:p>
    <w:p>
      <w:pPr>
        <w:snapToGrid w:val="0"/>
        <w:spacing w:line="360" w:lineRule="auto"/>
        <w:ind w:firstLine="480" w:firstLineChars="200"/>
        <w:rPr>
          <w:sz w:val="24"/>
          <w:szCs w:val="24"/>
        </w:rPr>
      </w:pPr>
      <w:r>
        <w:rPr>
          <w:rFonts w:hint="eastAsia" w:ascii="宋体" w:hAnsi="宋体"/>
          <w:sz w:val="24"/>
          <w:szCs w:val="24"/>
        </w:rPr>
        <w:t>（二）服务响应偏离表</w:t>
      </w:r>
    </w:p>
    <w:p>
      <w:pPr>
        <w:pStyle w:val="4"/>
        <w:spacing w:line="360" w:lineRule="auto"/>
        <w:ind w:firstLine="482" w:firstLineChars="200"/>
        <w:rPr>
          <w:rFonts w:ascii="宋体" w:hAnsi="宋体"/>
          <w:sz w:val="24"/>
          <w:szCs w:val="24"/>
        </w:rPr>
      </w:pPr>
      <w:bookmarkStart w:id="104" w:name="_Toc101697419"/>
      <w:r>
        <w:rPr>
          <w:rFonts w:ascii="宋体" w:hAnsi="宋体"/>
          <w:sz w:val="24"/>
          <w:szCs w:val="24"/>
        </w:rPr>
        <w:t>三、商务</w:t>
      </w:r>
      <w:r>
        <w:rPr>
          <w:rFonts w:hint="eastAsia" w:ascii="宋体" w:hAnsi="宋体"/>
          <w:sz w:val="24"/>
          <w:szCs w:val="24"/>
        </w:rPr>
        <w:t>部分</w:t>
      </w:r>
      <w:bookmarkEnd w:id="104"/>
    </w:p>
    <w:p>
      <w:pPr>
        <w:snapToGrid w:val="0"/>
        <w:spacing w:line="360" w:lineRule="auto"/>
        <w:ind w:firstLine="480" w:firstLineChars="200"/>
        <w:rPr>
          <w:sz w:val="24"/>
          <w:szCs w:val="24"/>
        </w:rPr>
      </w:pPr>
      <w:r>
        <w:rPr>
          <w:sz w:val="24"/>
          <w:szCs w:val="24"/>
        </w:rPr>
        <w:t>（一）</w:t>
      </w:r>
      <w:r>
        <w:rPr>
          <w:rFonts w:hint="eastAsia"/>
          <w:sz w:val="24"/>
          <w:szCs w:val="24"/>
        </w:rPr>
        <w:t>商务要求响应情况（格式自定）</w:t>
      </w:r>
    </w:p>
    <w:p>
      <w:pPr>
        <w:snapToGrid w:val="0"/>
        <w:spacing w:line="360" w:lineRule="auto"/>
        <w:ind w:firstLine="480" w:firstLineChars="200"/>
        <w:rPr>
          <w:sz w:val="24"/>
          <w:szCs w:val="24"/>
        </w:rPr>
      </w:pPr>
      <w:r>
        <w:rPr>
          <w:rFonts w:hint="eastAsia"/>
          <w:sz w:val="24"/>
          <w:szCs w:val="24"/>
        </w:rPr>
        <w:t>（二）商务响应偏离表</w:t>
      </w:r>
    </w:p>
    <w:p>
      <w:pPr>
        <w:snapToGrid w:val="0"/>
        <w:spacing w:line="360" w:lineRule="auto"/>
        <w:ind w:firstLine="480" w:firstLineChars="200"/>
        <w:rPr>
          <w:sz w:val="24"/>
          <w:szCs w:val="24"/>
        </w:rPr>
      </w:pPr>
      <w:r>
        <w:rPr>
          <w:sz w:val="24"/>
          <w:szCs w:val="24"/>
        </w:rPr>
        <w:t>（</w:t>
      </w:r>
      <w:r>
        <w:rPr>
          <w:rFonts w:hint="eastAsia"/>
          <w:sz w:val="24"/>
          <w:szCs w:val="24"/>
        </w:rPr>
        <w:t>三</w:t>
      </w:r>
      <w:r>
        <w:rPr>
          <w:sz w:val="24"/>
          <w:szCs w:val="24"/>
        </w:rPr>
        <w:t>）</w:t>
      </w:r>
      <w:r>
        <w:rPr>
          <w:rFonts w:hint="eastAsia"/>
          <w:sz w:val="24"/>
          <w:szCs w:val="24"/>
        </w:rPr>
        <w:t>其它优惠承诺</w:t>
      </w:r>
    </w:p>
    <w:p>
      <w:pPr>
        <w:pStyle w:val="4"/>
        <w:spacing w:line="360" w:lineRule="auto"/>
        <w:ind w:firstLine="482" w:firstLineChars="200"/>
        <w:rPr>
          <w:rFonts w:ascii="宋体" w:hAnsi="宋体"/>
          <w:sz w:val="24"/>
          <w:szCs w:val="24"/>
        </w:rPr>
      </w:pPr>
      <w:bookmarkStart w:id="105" w:name="_Toc101697420"/>
      <w:r>
        <w:rPr>
          <w:rFonts w:hint="eastAsia" w:ascii="宋体" w:hAnsi="宋体"/>
          <w:sz w:val="24"/>
          <w:szCs w:val="24"/>
        </w:rPr>
        <w:t>四、资格部分</w:t>
      </w:r>
      <w:bookmarkEnd w:id="105"/>
    </w:p>
    <w:p>
      <w:pPr>
        <w:snapToGrid w:val="0"/>
        <w:spacing w:line="360" w:lineRule="auto"/>
        <w:ind w:firstLine="480" w:firstLineChars="200"/>
        <w:rPr>
          <w:rFonts w:ascii="宋体" w:hAnsi="宋体"/>
          <w:sz w:val="24"/>
          <w:szCs w:val="24"/>
        </w:rPr>
      </w:pPr>
      <w:r>
        <w:rPr>
          <w:sz w:val="24"/>
          <w:szCs w:val="24"/>
        </w:rPr>
        <w:t>（一）</w:t>
      </w:r>
      <w:r>
        <w:rPr>
          <w:rFonts w:hint="eastAsia" w:ascii="宋体" w:hAnsi="宋体"/>
          <w:sz w:val="24"/>
          <w:szCs w:val="24"/>
        </w:rPr>
        <w:t>法人营业执照（副本）或社会团体法人登记证书（副本）或民办非企业单位法人登记证书（副本）或事业单位法人证书（副本）或个体工商户营业执照或有效的自然人身份证明</w:t>
      </w:r>
    </w:p>
    <w:p>
      <w:pPr>
        <w:snapToGrid w:val="0"/>
        <w:spacing w:line="360" w:lineRule="auto"/>
        <w:ind w:firstLine="480" w:firstLineChars="200"/>
        <w:rPr>
          <w:rFonts w:ascii="宋体" w:hAnsi="宋体"/>
          <w:sz w:val="24"/>
          <w:szCs w:val="24"/>
        </w:rPr>
      </w:pPr>
      <w:r>
        <w:rPr>
          <w:rFonts w:hint="eastAsia" w:ascii="宋体" w:hAnsi="宋体"/>
          <w:sz w:val="24"/>
          <w:szCs w:val="24"/>
        </w:rPr>
        <w:t>（二）</w:t>
      </w:r>
      <w:r>
        <w:rPr>
          <w:rFonts w:ascii="宋体" w:hAnsi="宋体"/>
          <w:sz w:val="24"/>
          <w:szCs w:val="24"/>
        </w:rPr>
        <w:t>法定代表人身份证明书（格式）</w:t>
      </w:r>
    </w:p>
    <w:p>
      <w:pPr>
        <w:snapToGrid w:val="0"/>
        <w:spacing w:line="360" w:lineRule="auto"/>
        <w:ind w:firstLine="480" w:firstLineChars="200"/>
        <w:rPr>
          <w:rFonts w:ascii="宋体" w:hAnsi="宋体"/>
          <w:sz w:val="24"/>
          <w:szCs w:val="24"/>
        </w:rPr>
      </w:pPr>
      <w:r>
        <w:rPr>
          <w:rFonts w:hint="eastAsia" w:ascii="宋体" w:hAnsi="宋体"/>
          <w:sz w:val="24"/>
          <w:szCs w:val="24"/>
        </w:rPr>
        <w:t>（三）</w:t>
      </w:r>
      <w:r>
        <w:rPr>
          <w:rFonts w:ascii="宋体" w:hAnsi="宋体"/>
          <w:sz w:val="24"/>
          <w:szCs w:val="24"/>
        </w:rPr>
        <w:t>法定代表人授权委托书（格式）</w:t>
      </w:r>
    </w:p>
    <w:p>
      <w:pPr>
        <w:snapToGrid w:val="0"/>
        <w:spacing w:line="360" w:lineRule="auto"/>
        <w:ind w:firstLine="480" w:firstLineChars="200"/>
        <w:rPr>
          <w:color w:val="000000" w:themeColor="text1"/>
          <w:sz w:val="24"/>
          <w:szCs w:val="24"/>
        </w:rPr>
      </w:pPr>
      <w:r>
        <w:rPr>
          <w:rFonts w:hint="eastAsia"/>
          <w:color w:val="000000" w:themeColor="text1"/>
          <w:sz w:val="24"/>
          <w:szCs w:val="24"/>
        </w:rPr>
        <w:t>（四）基本资格条件承诺函（格式）</w:t>
      </w:r>
    </w:p>
    <w:p>
      <w:pPr>
        <w:snapToGrid w:val="0"/>
        <w:spacing w:line="360" w:lineRule="auto"/>
        <w:ind w:firstLine="480" w:firstLineChars="200"/>
        <w:rPr>
          <w:color w:val="000000" w:themeColor="text1"/>
          <w:sz w:val="24"/>
          <w:szCs w:val="24"/>
        </w:rPr>
      </w:pPr>
      <w:r>
        <w:rPr>
          <w:rFonts w:hint="eastAsia"/>
          <w:color w:val="000000" w:themeColor="text1"/>
          <w:sz w:val="24"/>
          <w:szCs w:val="24"/>
        </w:rPr>
        <w:t>（五）特定资格条件（若有）</w:t>
      </w:r>
    </w:p>
    <w:p>
      <w:pPr>
        <w:snapToGrid w:val="0"/>
        <w:spacing w:line="360" w:lineRule="auto"/>
        <w:ind w:firstLine="480" w:firstLineChars="200"/>
        <w:rPr>
          <w:sz w:val="24"/>
          <w:szCs w:val="24"/>
        </w:rPr>
      </w:pPr>
    </w:p>
    <w:p>
      <w:pPr>
        <w:spacing w:line="440" w:lineRule="exact"/>
        <w:ind w:firstLine="480" w:firstLineChars="200"/>
        <w:rPr>
          <w:sz w:val="24"/>
          <w:szCs w:val="24"/>
        </w:rPr>
        <w:sectPr>
          <w:pgSz w:w="11907" w:h="16840"/>
          <w:pgMar w:top="1134" w:right="1191" w:bottom="1134" w:left="1191" w:header="851" w:footer="992" w:gutter="0"/>
          <w:pgNumType w:fmt="numberInDash"/>
          <w:cols w:space="720" w:num="1"/>
          <w:docGrid w:linePitch="381" w:charSpace="-5735"/>
        </w:sectPr>
      </w:pPr>
    </w:p>
    <w:p>
      <w:pPr>
        <w:pageBreakBefore/>
        <w:snapToGrid w:val="0"/>
        <w:spacing w:line="360" w:lineRule="auto"/>
        <w:ind w:firstLine="482" w:firstLineChars="200"/>
        <w:rPr>
          <w:b/>
          <w:sz w:val="24"/>
          <w:szCs w:val="24"/>
        </w:rPr>
      </w:pPr>
      <w:bookmarkStart w:id="106" w:name="_Toc342913419"/>
      <w:bookmarkStart w:id="107" w:name="_Toc313008356"/>
      <w:bookmarkStart w:id="108" w:name="_Toc313888360"/>
      <w:bookmarkStart w:id="109" w:name="_Toc23764522"/>
      <w:bookmarkStart w:id="110" w:name="_Toc12789073"/>
      <w:bookmarkStart w:id="111" w:name="_Toc283382454"/>
      <w:r>
        <w:rPr>
          <w:b/>
          <w:sz w:val="24"/>
          <w:szCs w:val="24"/>
        </w:rPr>
        <w:t>一、经济</w:t>
      </w:r>
      <w:bookmarkEnd w:id="106"/>
      <w:bookmarkEnd w:id="107"/>
      <w:bookmarkEnd w:id="108"/>
      <w:bookmarkEnd w:id="109"/>
      <w:r>
        <w:rPr>
          <w:rFonts w:hint="eastAsia"/>
          <w:b/>
          <w:sz w:val="24"/>
          <w:szCs w:val="24"/>
        </w:rPr>
        <w:t>文件</w:t>
      </w:r>
    </w:p>
    <w:bookmarkEnd w:id="110"/>
    <w:bookmarkEnd w:id="111"/>
    <w:p>
      <w:pPr>
        <w:snapToGrid w:val="0"/>
        <w:spacing w:line="360" w:lineRule="auto"/>
        <w:ind w:firstLine="480" w:firstLineChars="200"/>
        <w:rPr>
          <w:rFonts w:ascii="宋体" w:hAnsi="宋体"/>
          <w:sz w:val="24"/>
          <w:szCs w:val="24"/>
        </w:rPr>
      </w:pPr>
      <w:r>
        <w:rPr>
          <w:rFonts w:ascii="宋体" w:hAnsi="宋体"/>
          <w:sz w:val="24"/>
          <w:szCs w:val="24"/>
        </w:rPr>
        <w:t>（一）竞争性磋商报价函</w:t>
      </w:r>
    </w:p>
    <w:p>
      <w:pPr>
        <w:tabs>
          <w:tab w:val="left" w:pos="6300"/>
        </w:tabs>
        <w:snapToGrid w:val="0"/>
        <w:spacing w:line="520" w:lineRule="exact"/>
        <w:jc w:val="center"/>
        <w:outlineLvl w:val="0"/>
        <w:rPr>
          <w:b/>
          <w:szCs w:val="28"/>
        </w:rPr>
      </w:pPr>
      <w:r>
        <w:rPr>
          <w:b/>
          <w:szCs w:val="28"/>
        </w:rPr>
        <w:t>竞争性磋商报价函</w:t>
      </w:r>
    </w:p>
    <w:p>
      <w:pPr>
        <w:tabs>
          <w:tab w:val="left" w:pos="6300"/>
        </w:tabs>
        <w:snapToGrid w:val="0"/>
        <w:spacing w:line="520" w:lineRule="exact"/>
        <w:rPr>
          <w:sz w:val="24"/>
          <w:szCs w:val="24"/>
        </w:rPr>
      </w:pPr>
      <w:r>
        <w:rPr>
          <w:sz w:val="24"/>
          <w:szCs w:val="24"/>
          <w:u w:val="single"/>
        </w:rPr>
        <w:t>（采购</w:t>
      </w:r>
      <w:r>
        <w:rPr>
          <w:rFonts w:hint="eastAsia"/>
          <w:sz w:val="24"/>
          <w:szCs w:val="24"/>
          <w:u w:val="single"/>
        </w:rPr>
        <w:t>人</w:t>
      </w:r>
      <w:r>
        <w:rPr>
          <w:sz w:val="24"/>
          <w:szCs w:val="24"/>
          <w:u w:val="single"/>
        </w:rPr>
        <w:t>）</w:t>
      </w:r>
      <w:r>
        <w:rPr>
          <w:sz w:val="24"/>
          <w:szCs w:val="24"/>
        </w:rPr>
        <w:t>：</w:t>
      </w:r>
    </w:p>
    <w:p>
      <w:pPr>
        <w:tabs>
          <w:tab w:val="left" w:pos="6300"/>
        </w:tabs>
        <w:snapToGrid w:val="0"/>
        <w:spacing w:line="520" w:lineRule="exact"/>
        <w:ind w:firstLine="480" w:firstLineChars="200"/>
        <w:rPr>
          <w:sz w:val="24"/>
          <w:szCs w:val="24"/>
        </w:rPr>
      </w:pPr>
      <w:r>
        <w:rPr>
          <w:sz w:val="24"/>
          <w:szCs w:val="24"/>
        </w:rPr>
        <w:t>我方收到____________________________（项目名称）的竞争性磋商文件，经详细研究，决定参加该项目的磋商。</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1.</w:t>
      </w:r>
      <w:r>
        <w:rPr>
          <w:rFonts w:hint="eastAsia" w:ascii="宋体" w:hAnsi="宋体"/>
          <w:sz w:val="24"/>
          <w:szCs w:val="24"/>
        </w:rPr>
        <w:t>我方</w:t>
      </w:r>
      <w:r>
        <w:rPr>
          <w:rFonts w:ascii="宋体" w:hAnsi="宋体"/>
          <w:sz w:val="24"/>
          <w:szCs w:val="24"/>
        </w:rPr>
        <w:t>愿意按照竞争性磋商文件中的一切要求，提供本项目的</w:t>
      </w:r>
      <w:r>
        <w:rPr>
          <w:rFonts w:hint="eastAsia" w:ascii="宋体" w:hAnsi="宋体"/>
          <w:sz w:val="24"/>
          <w:szCs w:val="24"/>
        </w:rPr>
        <w:t>技术</w:t>
      </w:r>
      <w:r>
        <w:rPr>
          <w:rFonts w:ascii="宋体" w:hAnsi="宋体"/>
          <w:sz w:val="24"/>
          <w:szCs w:val="24"/>
        </w:rPr>
        <w:t>服务，</w:t>
      </w:r>
      <w:r>
        <w:rPr>
          <w:rFonts w:hint="eastAsia" w:ascii="宋体" w:hAnsi="宋体"/>
          <w:sz w:val="24"/>
          <w:szCs w:val="24"/>
        </w:rPr>
        <w:t>最低收费的</w:t>
      </w:r>
      <w:r>
        <w:rPr>
          <w:rFonts w:ascii="宋体" w:hAnsi="宋体"/>
          <w:sz w:val="24"/>
          <w:szCs w:val="24"/>
        </w:rPr>
        <w:t>初始报价为人民币</w:t>
      </w:r>
      <w:r>
        <w:rPr>
          <w:rFonts w:hint="eastAsia" w:ascii="宋体" w:hAnsi="宋体"/>
          <w:sz w:val="24"/>
          <w:szCs w:val="24"/>
        </w:rPr>
        <w:t>（</w:t>
      </w:r>
      <w:r>
        <w:rPr>
          <w:rFonts w:ascii="宋体" w:hAnsi="宋体"/>
          <w:sz w:val="24"/>
          <w:szCs w:val="24"/>
        </w:rPr>
        <w:t>大写</w:t>
      </w:r>
      <w:r>
        <w:rPr>
          <w:rFonts w:hint="eastAsia" w:ascii="宋体" w:hAnsi="宋体"/>
          <w:sz w:val="24"/>
          <w:szCs w:val="24"/>
        </w:rPr>
        <w:t>）</w:t>
      </w:r>
      <w:r>
        <w:rPr>
          <w:rFonts w:ascii="宋体" w:hAnsi="宋体"/>
          <w:sz w:val="24"/>
          <w:szCs w:val="24"/>
        </w:rPr>
        <w:t>：元整；人民币</w:t>
      </w:r>
      <w:r>
        <w:rPr>
          <w:rFonts w:hint="eastAsia" w:ascii="宋体" w:hAnsi="宋体"/>
          <w:sz w:val="24"/>
          <w:szCs w:val="24"/>
        </w:rPr>
        <w:t>（</w:t>
      </w:r>
      <w:r>
        <w:rPr>
          <w:rFonts w:ascii="宋体" w:hAnsi="宋体"/>
          <w:sz w:val="24"/>
          <w:szCs w:val="24"/>
        </w:rPr>
        <w:t>小写</w:t>
      </w:r>
      <w:r>
        <w:rPr>
          <w:rFonts w:hint="eastAsia" w:ascii="宋体" w:hAnsi="宋体"/>
          <w:sz w:val="24"/>
          <w:szCs w:val="24"/>
        </w:rPr>
        <w:t>）</w:t>
      </w:r>
      <w:r>
        <w:rPr>
          <w:rFonts w:ascii="宋体" w:hAnsi="宋体"/>
          <w:sz w:val="24"/>
          <w:szCs w:val="24"/>
        </w:rPr>
        <w:t>：元。以我公司最后报价为准。</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2.我方现提交的响应文件为：响应文件正本份，副本份</w:t>
      </w:r>
      <w:r>
        <w:rPr>
          <w:rFonts w:hint="eastAsia" w:ascii="宋体" w:hAnsi="宋体"/>
          <w:sz w:val="24"/>
          <w:szCs w:val="24"/>
        </w:rPr>
        <w:t>，电子文档</w:t>
      </w:r>
      <w:r>
        <w:rPr>
          <w:rFonts w:ascii="宋体" w:hAnsi="宋体"/>
          <w:sz w:val="24"/>
          <w:szCs w:val="24"/>
        </w:rPr>
        <w:t>份 。</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3.我方承诺：本次磋商的有效期为90天。</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4.我方完全理解和接受贵方竞争性磋商文件的一切规定和要求及评审办法。</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5.在整个竞争性磋商过程中，我方若有违规行为，接受按照《中华人民共和国政府采购法》和《竞争性磋商文件》之规定给予惩罚。</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6.我方若成为成交供应商，将按照最终磋商结果签订合同，并且严格履行合同义务。本承诺函将成为合同不可分割的一部分，与合同具有同等的法律效力。</w:t>
      </w:r>
    </w:p>
    <w:p>
      <w:pPr>
        <w:tabs>
          <w:tab w:val="left" w:pos="6300"/>
        </w:tabs>
        <w:snapToGrid w:val="0"/>
        <w:spacing w:line="520" w:lineRule="exact"/>
        <w:ind w:firstLine="480" w:firstLineChars="200"/>
        <w:rPr>
          <w:sz w:val="24"/>
          <w:szCs w:val="24"/>
        </w:rPr>
      </w:pPr>
      <w:r>
        <w:rPr>
          <w:rFonts w:hint="eastAsia" w:ascii="宋体" w:hAnsi="宋体"/>
          <w:sz w:val="24"/>
          <w:szCs w:val="24"/>
        </w:rPr>
        <w:t>7</w:t>
      </w:r>
      <w:r>
        <w:rPr>
          <w:rFonts w:ascii="宋体" w:hAnsi="宋体"/>
          <w:sz w:val="24"/>
          <w:szCs w:val="24"/>
        </w:rPr>
        <w:t>.</w:t>
      </w:r>
      <w:r>
        <w:rPr>
          <w:sz w:val="24"/>
          <w:szCs w:val="28"/>
        </w:rPr>
        <w:t>我方未</w:t>
      </w:r>
      <w:r>
        <w:rPr>
          <w:sz w:val="24"/>
          <w:szCs w:val="24"/>
        </w:rPr>
        <w:t>为采购项目提供整体设计、规范编制或者项目管理、监理、检测等服务。</w:t>
      </w:r>
    </w:p>
    <w:p>
      <w:pPr>
        <w:tabs>
          <w:tab w:val="left" w:pos="6300"/>
        </w:tabs>
        <w:snapToGrid w:val="0"/>
        <w:spacing w:line="520" w:lineRule="exact"/>
        <w:ind w:firstLine="570"/>
        <w:rPr>
          <w:sz w:val="24"/>
          <w:szCs w:val="24"/>
        </w:rPr>
      </w:pPr>
      <w:r>
        <w:rPr>
          <w:sz w:val="24"/>
          <w:szCs w:val="24"/>
        </w:rPr>
        <w:t>供应商（公章）：</w:t>
      </w:r>
    </w:p>
    <w:p>
      <w:pPr>
        <w:tabs>
          <w:tab w:val="left" w:pos="6300"/>
        </w:tabs>
        <w:snapToGrid w:val="0"/>
        <w:spacing w:line="520" w:lineRule="exact"/>
        <w:ind w:firstLine="570"/>
        <w:rPr>
          <w:sz w:val="24"/>
          <w:szCs w:val="24"/>
        </w:rPr>
      </w:pPr>
      <w:r>
        <w:rPr>
          <w:sz w:val="24"/>
          <w:szCs w:val="24"/>
        </w:rPr>
        <w:t xml:space="preserve">地址：  </w:t>
      </w:r>
    </w:p>
    <w:p>
      <w:pPr>
        <w:tabs>
          <w:tab w:val="left" w:pos="6300"/>
        </w:tabs>
        <w:snapToGrid w:val="0"/>
        <w:spacing w:line="520" w:lineRule="exact"/>
        <w:ind w:firstLine="570"/>
        <w:rPr>
          <w:sz w:val="24"/>
          <w:szCs w:val="24"/>
        </w:rPr>
      </w:pPr>
      <w:r>
        <w:rPr>
          <w:sz w:val="24"/>
          <w:szCs w:val="24"/>
        </w:rPr>
        <w:t>电话：                                             传真：</w:t>
      </w:r>
    </w:p>
    <w:p>
      <w:pPr>
        <w:tabs>
          <w:tab w:val="left" w:pos="6300"/>
        </w:tabs>
        <w:snapToGrid w:val="0"/>
        <w:spacing w:line="520" w:lineRule="exact"/>
        <w:ind w:firstLine="570"/>
        <w:rPr>
          <w:sz w:val="24"/>
          <w:szCs w:val="24"/>
        </w:rPr>
      </w:pPr>
      <w:r>
        <w:rPr>
          <w:sz w:val="24"/>
          <w:szCs w:val="24"/>
        </w:rPr>
        <w:t>网址：                                             邮编：</w:t>
      </w:r>
    </w:p>
    <w:p>
      <w:pPr>
        <w:tabs>
          <w:tab w:val="left" w:pos="6300"/>
        </w:tabs>
        <w:snapToGrid w:val="0"/>
        <w:spacing w:line="520" w:lineRule="exact"/>
        <w:ind w:firstLine="570"/>
        <w:rPr>
          <w:sz w:val="24"/>
          <w:szCs w:val="24"/>
        </w:rPr>
      </w:pPr>
      <w:r>
        <w:rPr>
          <w:sz w:val="24"/>
          <w:szCs w:val="24"/>
        </w:rPr>
        <w:t>联系人：</w:t>
      </w:r>
    </w:p>
    <w:p>
      <w:pPr>
        <w:tabs>
          <w:tab w:val="left" w:pos="6300"/>
        </w:tabs>
        <w:snapToGrid w:val="0"/>
        <w:spacing w:line="520" w:lineRule="exact"/>
        <w:ind w:firstLine="570"/>
        <w:rPr>
          <w:sz w:val="24"/>
          <w:szCs w:val="24"/>
        </w:rPr>
      </w:pPr>
    </w:p>
    <w:p>
      <w:pPr>
        <w:snapToGrid w:val="0"/>
        <w:spacing w:line="520" w:lineRule="exact"/>
        <w:ind w:firstLine="480" w:firstLineChars="200"/>
        <w:rPr>
          <w:sz w:val="24"/>
          <w:szCs w:val="24"/>
        </w:rPr>
      </w:pPr>
      <w:r>
        <w:rPr>
          <w:sz w:val="24"/>
          <w:szCs w:val="24"/>
        </w:rPr>
        <w:t xml:space="preserve">                                                  年   月   日</w:t>
      </w:r>
    </w:p>
    <w:p>
      <w:pPr>
        <w:snapToGrid w:val="0"/>
        <w:spacing w:line="520" w:lineRule="exact"/>
        <w:ind w:firstLine="480" w:firstLineChars="200"/>
        <w:rPr>
          <w:sz w:val="24"/>
          <w:szCs w:val="24"/>
        </w:rPr>
      </w:pPr>
    </w:p>
    <w:p>
      <w:pPr>
        <w:snapToGrid w:val="0"/>
        <w:spacing w:line="520" w:lineRule="exact"/>
        <w:ind w:firstLine="480" w:firstLineChars="200"/>
        <w:rPr>
          <w:sz w:val="24"/>
          <w:szCs w:val="24"/>
        </w:rPr>
        <w:sectPr>
          <w:pgSz w:w="11907" w:h="16840"/>
          <w:pgMar w:top="1134" w:right="1191" w:bottom="1134" w:left="1191" w:header="851" w:footer="992" w:gutter="0"/>
          <w:pgNumType w:fmt="numberInDash"/>
          <w:cols w:space="720" w:num="1"/>
          <w:docGrid w:linePitch="380" w:charSpace="-5735"/>
        </w:sectPr>
      </w:pPr>
    </w:p>
    <w:p>
      <w:pPr>
        <w:pageBreakBefore/>
        <w:snapToGrid w:val="0"/>
        <w:spacing w:line="360" w:lineRule="auto"/>
        <w:ind w:firstLine="482" w:firstLineChars="200"/>
        <w:rPr>
          <w:b/>
          <w:sz w:val="24"/>
          <w:szCs w:val="24"/>
        </w:rPr>
      </w:pPr>
      <w:bookmarkStart w:id="112" w:name="_Toc313888361"/>
      <w:bookmarkStart w:id="113" w:name="_Toc23764523"/>
      <w:bookmarkStart w:id="114" w:name="_Toc313008357"/>
      <w:bookmarkStart w:id="115" w:name="_Toc342913420"/>
      <w:r>
        <w:rPr>
          <w:b/>
          <w:sz w:val="24"/>
          <w:szCs w:val="24"/>
        </w:rPr>
        <w:t>二、</w:t>
      </w:r>
      <w:bookmarkEnd w:id="112"/>
      <w:bookmarkEnd w:id="113"/>
      <w:bookmarkEnd w:id="114"/>
      <w:bookmarkEnd w:id="115"/>
      <w:r>
        <w:rPr>
          <w:rFonts w:hint="eastAsia"/>
          <w:b/>
          <w:sz w:val="24"/>
          <w:szCs w:val="24"/>
        </w:rPr>
        <w:t>服务文件</w:t>
      </w:r>
    </w:p>
    <w:p>
      <w:pPr>
        <w:snapToGrid w:val="0"/>
        <w:spacing w:line="360" w:lineRule="auto"/>
        <w:ind w:firstLine="480" w:firstLineChars="200"/>
        <w:rPr>
          <w:rFonts w:ascii="宋体" w:hAnsi="宋体"/>
          <w:sz w:val="24"/>
          <w:szCs w:val="24"/>
        </w:rPr>
      </w:pPr>
      <w:r>
        <w:rPr>
          <w:rFonts w:hint="eastAsia" w:ascii="宋体" w:hAnsi="宋体"/>
          <w:sz w:val="24"/>
          <w:szCs w:val="24"/>
        </w:rPr>
        <w:t>（一）服务方案</w:t>
      </w:r>
    </w:p>
    <w:p>
      <w:pPr>
        <w:snapToGrid w:val="0"/>
        <w:spacing w:line="360" w:lineRule="auto"/>
        <w:ind w:firstLine="480" w:firstLineChars="200"/>
        <w:rPr>
          <w:rFonts w:ascii="宋体" w:hAnsi="宋体"/>
          <w:sz w:val="24"/>
          <w:szCs w:val="24"/>
        </w:rPr>
      </w:pPr>
      <w:r>
        <w:rPr>
          <w:rFonts w:hint="eastAsia" w:ascii="宋体" w:hAnsi="宋体"/>
          <w:sz w:val="24"/>
          <w:szCs w:val="24"/>
        </w:rPr>
        <w:t>（二）服务响应偏离表</w:t>
      </w:r>
    </w:p>
    <w:p>
      <w:pPr>
        <w:tabs>
          <w:tab w:val="left" w:pos="6300"/>
        </w:tabs>
        <w:snapToGrid w:val="0"/>
        <w:spacing w:line="360" w:lineRule="auto"/>
        <w:jc w:val="center"/>
        <w:rPr>
          <w:rFonts w:ascii="宋体" w:hAnsi="宋体"/>
          <w:szCs w:val="24"/>
        </w:rPr>
      </w:pPr>
      <w:r>
        <w:rPr>
          <w:rFonts w:hint="eastAsia" w:ascii="宋体" w:hAnsi="宋体"/>
          <w:szCs w:val="24"/>
        </w:rPr>
        <w:t>服务响应偏离表</w:t>
      </w:r>
    </w:p>
    <w:p>
      <w:pPr>
        <w:pStyle w:val="33"/>
        <w:tabs>
          <w:tab w:val="left" w:pos="6300"/>
        </w:tabs>
        <w:snapToGrid w:val="0"/>
        <w:spacing w:line="360" w:lineRule="auto"/>
        <w:ind w:firstLine="480" w:firstLineChars="200"/>
        <w:outlineLvl w:val="0"/>
        <w:rPr>
          <w:rFonts w:ascii="宋体" w:hAnsi="宋体"/>
          <w:sz w:val="24"/>
        </w:rPr>
      </w:pPr>
      <w:r>
        <w:rPr>
          <w:rFonts w:hint="eastAsia" w:ascii="宋体" w:hAnsi="宋体"/>
          <w:sz w:val="24"/>
        </w:rPr>
        <w:t>项目名称：</w:t>
      </w:r>
    </w:p>
    <w:tbl>
      <w:tblPr>
        <w:tblStyle w:val="58"/>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3116"/>
        <w:gridCol w:w="3117"/>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138" w:type="dxa"/>
            <w:noWrap/>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序号</w:t>
            </w:r>
          </w:p>
        </w:tc>
        <w:tc>
          <w:tcPr>
            <w:tcW w:w="3116" w:type="dxa"/>
            <w:noWrap/>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采购需求</w:t>
            </w:r>
          </w:p>
        </w:tc>
        <w:tc>
          <w:tcPr>
            <w:tcW w:w="3117" w:type="dxa"/>
            <w:noWrap/>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响应情况</w:t>
            </w:r>
          </w:p>
        </w:tc>
        <w:tc>
          <w:tcPr>
            <w:tcW w:w="2127" w:type="dxa"/>
            <w:noWrap/>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38" w:type="dxa"/>
            <w:noWrap/>
            <w:vAlign w:val="center"/>
          </w:tcPr>
          <w:p>
            <w:pPr>
              <w:tabs>
                <w:tab w:val="left" w:pos="6300"/>
              </w:tabs>
              <w:snapToGrid w:val="0"/>
              <w:jc w:val="center"/>
              <w:outlineLvl w:val="0"/>
              <w:rPr>
                <w:rFonts w:ascii="宋体" w:hAnsi="宋体"/>
                <w:sz w:val="21"/>
                <w:szCs w:val="21"/>
              </w:rPr>
            </w:pPr>
          </w:p>
        </w:tc>
        <w:tc>
          <w:tcPr>
            <w:tcW w:w="3116" w:type="dxa"/>
            <w:noWrap/>
            <w:vAlign w:val="center"/>
          </w:tcPr>
          <w:p>
            <w:pPr>
              <w:tabs>
                <w:tab w:val="left" w:pos="6300"/>
              </w:tabs>
              <w:snapToGrid w:val="0"/>
              <w:jc w:val="center"/>
              <w:outlineLvl w:val="0"/>
              <w:rPr>
                <w:rFonts w:ascii="宋体" w:hAnsi="宋体"/>
                <w:sz w:val="21"/>
                <w:szCs w:val="21"/>
              </w:rPr>
            </w:pPr>
          </w:p>
        </w:tc>
        <w:tc>
          <w:tcPr>
            <w:tcW w:w="3117" w:type="dxa"/>
            <w:noWrap/>
            <w:vAlign w:val="center"/>
          </w:tcPr>
          <w:p>
            <w:pPr>
              <w:tabs>
                <w:tab w:val="left" w:pos="6300"/>
              </w:tabs>
              <w:snapToGrid w:val="0"/>
              <w:jc w:val="center"/>
              <w:outlineLvl w:val="0"/>
              <w:rPr>
                <w:rFonts w:ascii="宋体" w:hAnsi="宋体"/>
                <w:sz w:val="21"/>
                <w:szCs w:val="21"/>
              </w:rPr>
            </w:pPr>
          </w:p>
        </w:tc>
        <w:tc>
          <w:tcPr>
            <w:tcW w:w="2127" w:type="dxa"/>
            <w:noWrap/>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38" w:type="dxa"/>
            <w:noWrap/>
            <w:vAlign w:val="center"/>
          </w:tcPr>
          <w:p>
            <w:pPr>
              <w:tabs>
                <w:tab w:val="left" w:pos="6300"/>
              </w:tabs>
              <w:snapToGrid w:val="0"/>
              <w:jc w:val="center"/>
              <w:outlineLvl w:val="0"/>
              <w:rPr>
                <w:rFonts w:ascii="宋体" w:hAnsi="宋体"/>
                <w:sz w:val="21"/>
                <w:szCs w:val="21"/>
              </w:rPr>
            </w:pPr>
          </w:p>
        </w:tc>
        <w:tc>
          <w:tcPr>
            <w:tcW w:w="3116" w:type="dxa"/>
            <w:noWrap/>
            <w:vAlign w:val="center"/>
          </w:tcPr>
          <w:p>
            <w:pPr>
              <w:tabs>
                <w:tab w:val="left" w:pos="6300"/>
              </w:tabs>
              <w:snapToGrid w:val="0"/>
              <w:jc w:val="center"/>
              <w:outlineLvl w:val="0"/>
              <w:rPr>
                <w:rFonts w:ascii="宋体" w:hAnsi="宋体"/>
                <w:sz w:val="21"/>
                <w:szCs w:val="21"/>
              </w:rPr>
            </w:pPr>
          </w:p>
        </w:tc>
        <w:tc>
          <w:tcPr>
            <w:tcW w:w="3117" w:type="dxa"/>
            <w:noWrap/>
            <w:vAlign w:val="center"/>
          </w:tcPr>
          <w:p>
            <w:pPr>
              <w:tabs>
                <w:tab w:val="left" w:pos="6300"/>
              </w:tabs>
              <w:snapToGrid w:val="0"/>
              <w:jc w:val="center"/>
              <w:outlineLvl w:val="0"/>
              <w:rPr>
                <w:rFonts w:ascii="宋体" w:hAnsi="宋体"/>
                <w:sz w:val="21"/>
                <w:szCs w:val="21"/>
              </w:rPr>
            </w:pPr>
          </w:p>
        </w:tc>
        <w:tc>
          <w:tcPr>
            <w:tcW w:w="2127" w:type="dxa"/>
            <w:noWrap/>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38" w:type="dxa"/>
            <w:noWrap/>
            <w:vAlign w:val="center"/>
          </w:tcPr>
          <w:p>
            <w:pPr>
              <w:tabs>
                <w:tab w:val="left" w:pos="6300"/>
              </w:tabs>
              <w:snapToGrid w:val="0"/>
              <w:jc w:val="center"/>
              <w:outlineLvl w:val="0"/>
              <w:rPr>
                <w:rFonts w:ascii="宋体" w:hAnsi="宋体"/>
                <w:sz w:val="21"/>
                <w:szCs w:val="21"/>
              </w:rPr>
            </w:pPr>
          </w:p>
        </w:tc>
        <w:tc>
          <w:tcPr>
            <w:tcW w:w="3116" w:type="dxa"/>
            <w:noWrap/>
            <w:vAlign w:val="center"/>
          </w:tcPr>
          <w:p>
            <w:pPr>
              <w:tabs>
                <w:tab w:val="left" w:pos="6300"/>
              </w:tabs>
              <w:snapToGrid w:val="0"/>
              <w:jc w:val="center"/>
              <w:outlineLvl w:val="0"/>
              <w:rPr>
                <w:rFonts w:ascii="宋体" w:hAnsi="宋体"/>
                <w:sz w:val="21"/>
                <w:szCs w:val="21"/>
              </w:rPr>
            </w:pPr>
          </w:p>
        </w:tc>
        <w:tc>
          <w:tcPr>
            <w:tcW w:w="3117" w:type="dxa"/>
            <w:noWrap/>
            <w:vAlign w:val="center"/>
          </w:tcPr>
          <w:p>
            <w:pPr>
              <w:tabs>
                <w:tab w:val="left" w:pos="6300"/>
              </w:tabs>
              <w:snapToGrid w:val="0"/>
              <w:jc w:val="center"/>
              <w:outlineLvl w:val="0"/>
              <w:rPr>
                <w:rFonts w:ascii="宋体" w:hAnsi="宋体"/>
                <w:sz w:val="21"/>
                <w:szCs w:val="21"/>
              </w:rPr>
            </w:pPr>
          </w:p>
        </w:tc>
        <w:tc>
          <w:tcPr>
            <w:tcW w:w="2127" w:type="dxa"/>
            <w:noWrap/>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38" w:type="dxa"/>
            <w:noWrap/>
            <w:vAlign w:val="center"/>
          </w:tcPr>
          <w:p>
            <w:pPr>
              <w:tabs>
                <w:tab w:val="left" w:pos="6300"/>
              </w:tabs>
              <w:snapToGrid w:val="0"/>
              <w:jc w:val="center"/>
              <w:outlineLvl w:val="0"/>
              <w:rPr>
                <w:rFonts w:ascii="宋体" w:hAnsi="宋体"/>
                <w:sz w:val="21"/>
                <w:szCs w:val="21"/>
              </w:rPr>
            </w:pPr>
          </w:p>
        </w:tc>
        <w:tc>
          <w:tcPr>
            <w:tcW w:w="3116" w:type="dxa"/>
            <w:noWrap/>
            <w:vAlign w:val="center"/>
          </w:tcPr>
          <w:p>
            <w:pPr>
              <w:tabs>
                <w:tab w:val="left" w:pos="6300"/>
              </w:tabs>
              <w:snapToGrid w:val="0"/>
              <w:jc w:val="center"/>
              <w:outlineLvl w:val="0"/>
              <w:rPr>
                <w:rFonts w:ascii="宋体" w:hAnsi="宋体"/>
                <w:sz w:val="21"/>
                <w:szCs w:val="21"/>
              </w:rPr>
            </w:pPr>
          </w:p>
        </w:tc>
        <w:tc>
          <w:tcPr>
            <w:tcW w:w="3117" w:type="dxa"/>
            <w:noWrap/>
            <w:vAlign w:val="center"/>
          </w:tcPr>
          <w:p>
            <w:pPr>
              <w:tabs>
                <w:tab w:val="left" w:pos="6300"/>
              </w:tabs>
              <w:snapToGrid w:val="0"/>
              <w:jc w:val="center"/>
              <w:outlineLvl w:val="0"/>
              <w:rPr>
                <w:rFonts w:ascii="宋体" w:hAnsi="宋体"/>
                <w:sz w:val="21"/>
                <w:szCs w:val="21"/>
              </w:rPr>
            </w:pPr>
          </w:p>
        </w:tc>
        <w:tc>
          <w:tcPr>
            <w:tcW w:w="2127" w:type="dxa"/>
            <w:noWrap/>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38" w:type="dxa"/>
            <w:noWrap/>
            <w:vAlign w:val="center"/>
          </w:tcPr>
          <w:p>
            <w:pPr>
              <w:tabs>
                <w:tab w:val="left" w:pos="6300"/>
              </w:tabs>
              <w:snapToGrid w:val="0"/>
              <w:jc w:val="center"/>
              <w:outlineLvl w:val="0"/>
              <w:rPr>
                <w:rFonts w:ascii="宋体" w:hAnsi="宋体"/>
                <w:sz w:val="21"/>
                <w:szCs w:val="21"/>
              </w:rPr>
            </w:pPr>
          </w:p>
        </w:tc>
        <w:tc>
          <w:tcPr>
            <w:tcW w:w="3116" w:type="dxa"/>
            <w:noWrap/>
            <w:vAlign w:val="center"/>
          </w:tcPr>
          <w:p>
            <w:pPr>
              <w:tabs>
                <w:tab w:val="left" w:pos="6300"/>
              </w:tabs>
              <w:snapToGrid w:val="0"/>
              <w:jc w:val="center"/>
              <w:outlineLvl w:val="0"/>
              <w:rPr>
                <w:rFonts w:ascii="宋体" w:hAnsi="宋体"/>
                <w:sz w:val="21"/>
                <w:szCs w:val="21"/>
              </w:rPr>
            </w:pPr>
          </w:p>
        </w:tc>
        <w:tc>
          <w:tcPr>
            <w:tcW w:w="3117" w:type="dxa"/>
            <w:noWrap/>
            <w:vAlign w:val="center"/>
          </w:tcPr>
          <w:p>
            <w:pPr>
              <w:tabs>
                <w:tab w:val="left" w:pos="6300"/>
              </w:tabs>
              <w:snapToGrid w:val="0"/>
              <w:jc w:val="center"/>
              <w:outlineLvl w:val="0"/>
              <w:rPr>
                <w:rFonts w:ascii="宋体" w:hAnsi="宋体"/>
                <w:sz w:val="21"/>
                <w:szCs w:val="21"/>
              </w:rPr>
            </w:pPr>
          </w:p>
        </w:tc>
        <w:tc>
          <w:tcPr>
            <w:tcW w:w="2127" w:type="dxa"/>
            <w:noWrap/>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38" w:type="dxa"/>
            <w:noWrap/>
            <w:vAlign w:val="center"/>
          </w:tcPr>
          <w:p>
            <w:pPr>
              <w:tabs>
                <w:tab w:val="left" w:pos="6300"/>
              </w:tabs>
              <w:snapToGrid w:val="0"/>
              <w:jc w:val="center"/>
              <w:outlineLvl w:val="0"/>
              <w:rPr>
                <w:rFonts w:ascii="宋体" w:hAnsi="宋体"/>
                <w:sz w:val="21"/>
                <w:szCs w:val="21"/>
              </w:rPr>
            </w:pPr>
          </w:p>
        </w:tc>
        <w:tc>
          <w:tcPr>
            <w:tcW w:w="3116" w:type="dxa"/>
            <w:noWrap/>
            <w:vAlign w:val="center"/>
          </w:tcPr>
          <w:p>
            <w:pPr>
              <w:tabs>
                <w:tab w:val="left" w:pos="6300"/>
              </w:tabs>
              <w:snapToGrid w:val="0"/>
              <w:jc w:val="center"/>
              <w:outlineLvl w:val="0"/>
              <w:rPr>
                <w:rFonts w:ascii="宋体" w:hAnsi="宋体"/>
                <w:sz w:val="21"/>
                <w:szCs w:val="21"/>
              </w:rPr>
            </w:pPr>
          </w:p>
        </w:tc>
        <w:tc>
          <w:tcPr>
            <w:tcW w:w="3117" w:type="dxa"/>
            <w:noWrap/>
            <w:vAlign w:val="center"/>
          </w:tcPr>
          <w:p>
            <w:pPr>
              <w:tabs>
                <w:tab w:val="left" w:pos="6300"/>
              </w:tabs>
              <w:snapToGrid w:val="0"/>
              <w:jc w:val="center"/>
              <w:outlineLvl w:val="0"/>
              <w:rPr>
                <w:rFonts w:ascii="宋体" w:hAnsi="宋体"/>
                <w:sz w:val="21"/>
                <w:szCs w:val="21"/>
              </w:rPr>
            </w:pPr>
          </w:p>
        </w:tc>
        <w:tc>
          <w:tcPr>
            <w:tcW w:w="2127" w:type="dxa"/>
            <w:noWrap/>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38" w:type="dxa"/>
            <w:noWrap/>
            <w:vAlign w:val="center"/>
          </w:tcPr>
          <w:p>
            <w:pPr>
              <w:tabs>
                <w:tab w:val="left" w:pos="6300"/>
              </w:tabs>
              <w:snapToGrid w:val="0"/>
              <w:jc w:val="center"/>
              <w:outlineLvl w:val="0"/>
              <w:rPr>
                <w:rFonts w:ascii="宋体" w:hAnsi="宋体"/>
                <w:sz w:val="21"/>
                <w:szCs w:val="21"/>
              </w:rPr>
            </w:pPr>
          </w:p>
        </w:tc>
        <w:tc>
          <w:tcPr>
            <w:tcW w:w="3116" w:type="dxa"/>
            <w:noWrap/>
            <w:vAlign w:val="center"/>
          </w:tcPr>
          <w:p>
            <w:pPr>
              <w:tabs>
                <w:tab w:val="left" w:pos="6300"/>
              </w:tabs>
              <w:snapToGrid w:val="0"/>
              <w:jc w:val="center"/>
              <w:outlineLvl w:val="0"/>
              <w:rPr>
                <w:rFonts w:ascii="宋体" w:hAnsi="宋体"/>
                <w:sz w:val="21"/>
                <w:szCs w:val="21"/>
              </w:rPr>
            </w:pPr>
          </w:p>
        </w:tc>
        <w:tc>
          <w:tcPr>
            <w:tcW w:w="3117" w:type="dxa"/>
            <w:noWrap/>
            <w:vAlign w:val="center"/>
          </w:tcPr>
          <w:p>
            <w:pPr>
              <w:tabs>
                <w:tab w:val="left" w:pos="6300"/>
              </w:tabs>
              <w:snapToGrid w:val="0"/>
              <w:jc w:val="center"/>
              <w:outlineLvl w:val="0"/>
              <w:rPr>
                <w:rFonts w:ascii="宋体" w:hAnsi="宋体"/>
                <w:sz w:val="21"/>
                <w:szCs w:val="21"/>
              </w:rPr>
            </w:pPr>
          </w:p>
        </w:tc>
        <w:tc>
          <w:tcPr>
            <w:tcW w:w="2127" w:type="dxa"/>
            <w:noWrap/>
            <w:vAlign w:val="center"/>
          </w:tcPr>
          <w:p>
            <w:pPr>
              <w:tabs>
                <w:tab w:val="left" w:pos="6300"/>
              </w:tabs>
              <w:snapToGrid w:val="0"/>
              <w:jc w:val="center"/>
              <w:outlineLvl w:val="0"/>
              <w:rPr>
                <w:rFonts w:ascii="宋体" w:hAnsi="宋体"/>
                <w:sz w:val="21"/>
                <w:szCs w:val="21"/>
              </w:rPr>
            </w:pPr>
          </w:p>
        </w:tc>
      </w:tr>
    </w:tbl>
    <w:p>
      <w:pPr>
        <w:spacing w:line="360" w:lineRule="auto"/>
        <w:ind w:firstLine="480" w:firstLineChars="200"/>
        <w:rPr>
          <w:rFonts w:ascii="宋体" w:hAnsi="宋体"/>
          <w:sz w:val="24"/>
          <w:szCs w:val="28"/>
        </w:rPr>
      </w:pPr>
      <w:r>
        <w:rPr>
          <w:rFonts w:hint="eastAsia" w:ascii="宋体" w:hAnsi="宋体"/>
          <w:sz w:val="24"/>
          <w:szCs w:val="28"/>
        </w:rPr>
        <w:t>供应商：             法定代表人（或法定代表人授权代表）或自然人：</w:t>
      </w:r>
    </w:p>
    <w:p>
      <w:pPr>
        <w:spacing w:line="360" w:lineRule="auto"/>
        <w:rPr>
          <w:rFonts w:ascii="宋体" w:hAnsi="宋体"/>
          <w:sz w:val="24"/>
          <w:szCs w:val="28"/>
        </w:rPr>
      </w:pPr>
      <w:r>
        <w:rPr>
          <w:rFonts w:hint="eastAsia" w:ascii="宋体" w:hAnsi="宋体"/>
          <w:sz w:val="24"/>
          <w:szCs w:val="28"/>
        </w:rPr>
        <w:t xml:space="preserve">   （供应商公章）                               （签字或盖章）</w:t>
      </w:r>
    </w:p>
    <w:p>
      <w:pPr>
        <w:spacing w:line="360" w:lineRule="auto"/>
        <w:rPr>
          <w:rFonts w:ascii="宋体" w:hAnsi="宋体"/>
          <w:sz w:val="24"/>
          <w:szCs w:val="28"/>
        </w:rPr>
      </w:pPr>
    </w:p>
    <w:p>
      <w:pPr>
        <w:tabs>
          <w:tab w:val="left" w:pos="6300"/>
        </w:tabs>
        <w:snapToGrid w:val="0"/>
        <w:spacing w:line="360" w:lineRule="auto"/>
        <w:ind w:firstLine="570"/>
        <w:rPr>
          <w:rFonts w:ascii="宋体" w:hAnsi="宋体"/>
          <w:sz w:val="24"/>
        </w:rPr>
      </w:pPr>
      <w:r>
        <w:rPr>
          <w:rFonts w:hint="eastAsia" w:ascii="宋体" w:hAnsi="宋体"/>
          <w:sz w:val="24"/>
          <w:szCs w:val="28"/>
        </w:rPr>
        <w:t xml:space="preserve">                                              年     月     日</w:t>
      </w:r>
    </w:p>
    <w:p>
      <w:pPr>
        <w:tabs>
          <w:tab w:val="left" w:pos="6300"/>
        </w:tabs>
        <w:snapToGrid w:val="0"/>
        <w:spacing w:line="360" w:lineRule="auto"/>
        <w:ind w:firstLine="480" w:firstLineChars="200"/>
        <w:rPr>
          <w:rFonts w:ascii="宋体" w:hAnsi="宋体"/>
          <w:sz w:val="24"/>
        </w:rPr>
      </w:pPr>
      <w:r>
        <w:rPr>
          <w:rFonts w:hint="eastAsia" w:ascii="宋体" w:hAnsi="宋体"/>
          <w:sz w:val="24"/>
        </w:rPr>
        <w:t>注：</w:t>
      </w:r>
    </w:p>
    <w:p>
      <w:pPr>
        <w:tabs>
          <w:tab w:val="left" w:pos="6300"/>
        </w:tabs>
        <w:snapToGrid w:val="0"/>
        <w:spacing w:line="360" w:lineRule="auto"/>
        <w:ind w:firstLine="480" w:firstLineChars="200"/>
        <w:rPr>
          <w:rFonts w:ascii="宋体" w:hAnsi="宋体"/>
          <w:sz w:val="24"/>
        </w:rPr>
      </w:pPr>
      <w:r>
        <w:rPr>
          <w:rFonts w:hint="eastAsia" w:ascii="宋体" w:hAnsi="宋体"/>
          <w:sz w:val="24"/>
          <w:szCs w:val="24"/>
        </w:rPr>
        <w:t>1</w:t>
      </w:r>
      <w:r>
        <w:rPr>
          <w:rFonts w:hint="eastAsia" w:ascii="宋体" w:hAnsi="宋体"/>
          <w:sz w:val="24"/>
        </w:rPr>
        <w:t>.本表即为对本项目“第二篇 项目服务需求”中所列技术要求进行比较和响应；</w:t>
      </w:r>
    </w:p>
    <w:p>
      <w:pPr>
        <w:tabs>
          <w:tab w:val="left" w:pos="6300"/>
        </w:tabs>
        <w:snapToGrid w:val="0"/>
        <w:spacing w:line="360" w:lineRule="auto"/>
        <w:ind w:firstLine="480" w:firstLineChars="200"/>
        <w:rPr>
          <w:rFonts w:ascii="宋体" w:hAnsi="宋体"/>
          <w:sz w:val="24"/>
        </w:rPr>
      </w:pPr>
      <w:r>
        <w:rPr>
          <w:rFonts w:hint="eastAsia" w:ascii="宋体" w:hAnsi="宋体"/>
          <w:sz w:val="24"/>
        </w:rPr>
        <w:t>2.该表必须按照采购文件要求逐条如实填写，根据响应情况在“差异说明”项填写正偏离或负偏离及原因，完全符合的填写“无差异”；</w:t>
      </w:r>
    </w:p>
    <w:p>
      <w:pPr>
        <w:tabs>
          <w:tab w:val="left" w:pos="6300"/>
        </w:tabs>
        <w:snapToGrid w:val="0"/>
        <w:spacing w:line="360" w:lineRule="auto"/>
        <w:ind w:firstLine="480" w:firstLineChars="200"/>
        <w:rPr>
          <w:rFonts w:ascii="宋体" w:hAnsi="宋体"/>
          <w:sz w:val="24"/>
        </w:rPr>
      </w:pPr>
      <w:r>
        <w:rPr>
          <w:rFonts w:hint="eastAsia" w:ascii="宋体" w:hAnsi="宋体"/>
          <w:sz w:val="24"/>
        </w:rPr>
        <w:t>3.该表可扩展。</w:t>
      </w:r>
    </w:p>
    <w:p>
      <w:pPr>
        <w:pageBreakBefore/>
        <w:snapToGrid w:val="0"/>
        <w:spacing w:line="360" w:lineRule="auto"/>
        <w:ind w:firstLine="482" w:firstLineChars="200"/>
        <w:rPr>
          <w:b/>
          <w:sz w:val="24"/>
          <w:szCs w:val="24"/>
        </w:rPr>
      </w:pPr>
      <w:bookmarkStart w:id="116" w:name="_Toc313008358"/>
      <w:bookmarkStart w:id="117" w:name="_Toc342913421"/>
      <w:bookmarkStart w:id="118" w:name="_Toc23764524"/>
      <w:bookmarkStart w:id="119" w:name="_Toc313888362"/>
      <w:r>
        <w:rPr>
          <w:b/>
          <w:sz w:val="24"/>
          <w:szCs w:val="24"/>
        </w:rPr>
        <w:t>三、商务</w:t>
      </w:r>
      <w:bookmarkEnd w:id="116"/>
      <w:bookmarkEnd w:id="117"/>
      <w:bookmarkEnd w:id="118"/>
      <w:bookmarkEnd w:id="119"/>
      <w:r>
        <w:rPr>
          <w:rFonts w:hint="eastAsia"/>
          <w:b/>
          <w:sz w:val="24"/>
          <w:szCs w:val="24"/>
        </w:rPr>
        <w:t>部分</w:t>
      </w:r>
    </w:p>
    <w:p>
      <w:pPr>
        <w:snapToGrid w:val="0"/>
        <w:spacing w:line="360" w:lineRule="auto"/>
        <w:ind w:firstLine="480" w:firstLineChars="200"/>
        <w:rPr>
          <w:rFonts w:ascii="宋体" w:hAnsi="宋体"/>
          <w:sz w:val="24"/>
          <w:szCs w:val="24"/>
        </w:rPr>
      </w:pPr>
      <w:r>
        <w:rPr>
          <w:rFonts w:hint="eastAsia" w:ascii="宋体" w:hAnsi="宋体"/>
          <w:sz w:val="24"/>
          <w:szCs w:val="24"/>
        </w:rPr>
        <w:t>（一）商务要求响应情况（格式自定）</w:t>
      </w:r>
    </w:p>
    <w:p>
      <w:pPr>
        <w:snapToGrid w:val="0"/>
        <w:spacing w:line="360" w:lineRule="auto"/>
        <w:ind w:firstLine="480" w:firstLineChars="200"/>
        <w:rPr>
          <w:rFonts w:ascii="宋体" w:hAnsi="宋体"/>
          <w:sz w:val="24"/>
          <w:szCs w:val="24"/>
        </w:rPr>
      </w:pPr>
      <w:r>
        <w:rPr>
          <w:rFonts w:hint="eastAsia" w:ascii="宋体" w:hAnsi="宋体"/>
          <w:sz w:val="24"/>
          <w:szCs w:val="24"/>
        </w:rPr>
        <w:t>（二）商务响应偏离表</w:t>
      </w:r>
    </w:p>
    <w:p>
      <w:pPr>
        <w:tabs>
          <w:tab w:val="left" w:pos="6300"/>
        </w:tabs>
        <w:snapToGrid w:val="0"/>
        <w:spacing w:line="360" w:lineRule="auto"/>
        <w:jc w:val="center"/>
        <w:rPr>
          <w:rFonts w:ascii="宋体" w:hAnsi="宋体"/>
          <w:szCs w:val="28"/>
        </w:rPr>
      </w:pPr>
      <w:r>
        <w:rPr>
          <w:rFonts w:hint="eastAsia" w:ascii="宋体" w:hAnsi="宋体"/>
          <w:szCs w:val="28"/>
        </w:rPr>
        <w:t>商务响应偏离表</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项目名称：</w:t>
      </w:r>
    </w:p>
    <w:tbl>
      <w:tblPr>
        <w:tblStyle w:val="58"/>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2825"/>
        <w:gridCol w:w="2825"/>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580" w:type="dxa"/>
            <w:noWrap/>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序号</w:t>
            </w:r>
          </w:p>
        </w:tc>
        <w:tc>
          <w:tcPr>
            <w:tcW w:w="2825" w:type="dxa"/>
            <w:noWrap/>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采购需求</w:t>
            </w:r>
          </w:p>
        </w:tc>
        <w:tc>
          <w:tcPr>
            <w:tcW w:w="2825" w:type="dxa"/>
            <w:noWrap/>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响应情况</w:t>
            </w:r>
          </w:p>
        </w:tc>
        <w:tc>
          <w:tcPr>
            <w:tcW w:w="2268" w:type="dxa"/>
            <w:noWrap/>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80" w:type="dxa"/>
            <w:noWrap/>
            <w:vAlign w:val="center"/>
          </w:tcPr>
          <w:p>
            <w:pPr>
              <w:tabs>
                <w:tab w:val="left" w:pos="6300"/>
              </w:tabs>
              <w:snapToGrid w:val="0"/>
              <w:jc w:val="center"/>
              <w:outlineLvl w:val="0"/>
              <w:rPr>
                <w:rFonts w:ascii="宋体" w:hAnsi="宋体"/>
                <w:sz w:val="21"/>
                <w:szCs w:val="21"/>
              </w:rPr>
            </w:pPr>
          </w:p>
        </w:tc>
        <w:tc>
          <w:tcPr>
            <w:tcW w:w="2825" w:type="dxa"/>
            <w:noWrap/>
            <w:vAlign w:val="center"/>
          </w:tcPr>
          <w:p>
            <w:pPr>
              <w:tabs>
                <w:tab w:val="left" w:pos="6300"/>
              </w:tabs>
              <w:snapToGrid w:val="0"/>
              <w:jc w:val="center"/>
              <w:outlineLvl w:val="0"/>
              <w:rPr>
                <w:rFonts w:ascii="宋体" w:hAnsi="宋体"/>
                <w:sz w:val="21"/>
                <w:szCs w:val="21"/>
              </w:rPr>
            </w:pPr>
          </w:p>
        </w:tc>
        <w:tc>
          <w:tcPr>
            <w:tcW w:w="2825" w:type="dxa"/>
            <w:noWrap/>
            <w:vAlign w:val="center"/>
          </w:tcPr>
          <w:p>
            <w:pPr>
              <w:tabs>
                <w:tab w:val="left" w:pos="6300"/>
              </w:tabs>
              <w:snapToGrid w:val="0"/>
              <w:jc w:val="center"/>
              <w:outlineLvl w:val="0"/>
              <w:rPr>
                <w:rFonts w:ascii="宋体" w:hAnsi="宋体"/>
                <w:sz w:val="21"/>
                <w:szCs w:val="21"/>
              </w:rPr>
            </w:pPr>
          </w:p>
        </w:tc>
        <w:tc>
          <w:tcPr>
            <w:tcW w:w="2268" w:type="dxa"/>
            <w:noWrap/>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80" w:type="dxa"/>
            <w:noWrap/>
            <w:vAlign w:val="center"/>
          </w:tcPr>
          <w:p>
            <w:pPr>
              <w:tabs>
                <w:tab w:val="left" w:pos="6300"/>
              </w:tabs>
              <w:snapToGrid w:val="0"/>
              <w:jc w:val="center"/>
              <w:outlineLvl w:val="0"/>
              <w:rPr>
                <w:rFonts w:ascii="宋体" w:hAnsi="宋体"/>
                <w:sz w:val="21"/>
                <w:szCs w:val="21"/>
              </w:rPr>
            </w:pPr>
          </w:p>
        </w:tc>
        <w:tc>
          <w:tcPr>
            <w:tcW w:w="2825" w:type="dxa"/>
            <w:noWrap/>
            <w:vAlign w:val="center"/>
          </w:tcPr>
          <w:p>
            <w:pPr>
              <w:tabs>
                <w:tab w:val="left" w:pos="6300"/>
              </w:tabs>
              <w:snapToGrid w:val="0"/>
              <w:jc w:val="center"/>
              <w:outlineLvl w:val="0"/>
              <w:rPr>
                <w:rFonts w:ascii="宋体" w:hAnsi="宋体"/>
                <w:sz w:val="21"/>
                <w:szCs w:val="21"/>
              </w:rPr>
            </w:pPr>
          </w:p>
        </w:tc>
        <w:tc>
          <w:tcPr>
            <w:tcW w:w="2825" w:type="dxa"/>
            <w:noWrap/>
            <w:vAlign w:val="center"/>
          </w:tcPr>
          <w:p>
            <w:pPr>
              <w:tabs>
                <w:tab w:val="left" w:pos="6300"/>
              </w:tabs>
              <w:snapToGrid w:val="0"/>
              <w:jc w:val="center"/>
              <w:outlineLvl w:val="0"/>
              <w:rPr>
                <w:rFonts w:ascii="宋体" w:hAnsi="宋体"/>
                <w:sz w:val="21"/>
                <w:szCs w:val="21"/>
              </w:rPr>
            </w:pPr>
          </w:p>
        </w:tc>
        <w:tc>
          <w:tcPr>
            <w:tcW w:w="2268" w:type="dxa"/>
            <w:noWrap/>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80" w:type="dxa"/>
            <w:noWrap/>
            <w:vAlign w:val="center"/>
          </w:tcPr>
          <w:p>
            <w:pPr>
              <w:tabs>
                <w:tab w:val="left" w:pos="6300"/>
              </w:tabs>
              <w:snapToGrid w:val="0"/>
              <w:jc w:val="center"/>
              <w:outlineLvl w:val="0"/>
              <w:rPr>
                <w:rFonts w:ascii="宋体" w:hAnsi="宋体"/>
                <w:sz w:val="21"/>
                <w:szCs w:val="21"/>
              </w:rPr>
            </w:pPr>
          </w:p>
        </w:tc>
        <w:tc>
          <w:tcPr>
            <w:tcW w:w="2825" w:type="dxa"/>
            <w:noWrap/>
            <w:vAlign w:val="center"/>
          </w:tcPr>
          <w:p>
            <w:pPr>
              <w:tabs>
                <w:tab w:val="left" w:pos="6300"/>
              </w:tabs>
              <w:snapToGrid w:val="0"/>
              <w:jc w:val="center"/>
              <w:outlineLvl w:val="0"/>
              <w:rPr>
                <w:rFonts w:ascii="宋体" w:hAnsi="宋体"/>
                <w:sz w:val="21"/>
                <w:szCs w:val="21"/>
              </w:rPr>
            </w:pPr>
          </w:p>
        </w:tc>
        <w:tc>
          <w:tcPr>
            <w:tcW w:w="2825" w:type="dxa"/>
            <w:noWrap/>
            <w:vAlign w:val="center"/>
          </w:tcPr>
          <w:p>
            <w:pPr>
              <w:tabs>
                <w:tab w:val="left" w:pos="6300"/>
              </w:tabs>
              <w:snapToGrid w:val="0"/>
              <w:jc w:val="center"/>
              <w:outlineLvl w:val="0"/>
              <w:rPr>
                <w:rFonts w:ascii="宋体" w:hAnsi="宋体"/>
                <w:sz w:val="21"/>
                <w:szCs w:val="21"/>
              </w:rPr>
            </w:pPr>
          </w:p>
        </w:tc>
        <w:tc>
          <w:tcPr>
            <w:tcW w:w="2268" w:type="dxa"/>
            <w:noWrap/>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80" w:type="dxa"/>
            <w:noWrap/>
            <w:vAlign w:val="center"/>
          </w:tcPr>
          <w:p>
            <w:pPr>
              <w:tabs>
                <w:tab w:val="left" w:pos="6300"/>
              </w:tabs>
              <w:snapToGrid w:val="0"/>
              <w:jc w:val="center"/>
              <w:outlineLvl w:val="0"/>
              <w:rPr>
                <w:rFonts w:ascii="宋体" w:hAnsi="宋体"/>
                <w:sz w:val="21"/>
                <w:szCs w:val="21"/>
              </w:rPr>
            </w:pPr>
          </w:p>
        </w:tc>
        <w:tc>
          <w:tcPr>
            <w:tcW w:w="2825" w:type="dxa"/>
            <w:noWrap/>
            <w:vAlign w:val="center"/>
          </w:tcPr>
          <w:p>
            <w:pPr>
              <w:tabs>
                <w:tab w:val="left" w:pos="6300"/>
              </w:tabs>
              <w:snapToGrid w:val="0"/>
              <w:jc w:val="center"/>
              <w:outlineLvl w:val="0"/>
              <w:rPr>
                <w:rFonts w:ascii="宋体" w:hAnsi="宋体"/>
                <w:sz w:val="21"/>
                <w:szCs w:val="21"/>
              </w:rPr>
            </w:pPr>
          </w:p>
        </w:tc>
        <w:tc>
          <w:tcPr>
            <w:tcW w:w="2825" w:type="dxa"/>
            <w:noWrap/>
            <w:vAlign w:val="center"/>
          </w:tcPr>
          <w:p>
            <w:pPr>
              <w:tabs>
                <w:tab w:val="left" w:pos="6300"/>
              </w:tabs>
              <w:snapToGrid w:val="0"/>
              <w:jc w:val="center"/>
              <w:outlineLvl w:val="0"/>
              <w:rPr>
                <w:rFonts w:ascii="宋体" w:hAnsi="宋体"/>
                <w:sz w:val="21"/>
                <w:szCs w:val="21"/>
              </w:rPr>
            </w:pPr>
          </w:p>
        </w:tc>
        <w:tc>
          <w:tcPr>
            <w:tcW w:w="2268" w:type="dxa"/>
            <w:noWrap/>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80" w:type="dxa"/>
            <w:noWrap/>
            <w:vAlign w:val="center"/>
          </w:tcPr>
          <w:p>
            <w:pPr>
              <w:tabs>
                <w:tab w:val="left" w:pos="6300"/>
              </w:tabs>
              <w:snapToGrid w:val="0"/>
              <w:jc w:val="center"/>
              <w:outlineLvl w:val="0"/>
              <w:rPr>
                <w:rFonts w:ascii="宋体" w:hAnsi="宋体"/>
                <w:sz w:val="21"/>
                <w:szCs w:val="21"/>
              </w:rPr>
            </w:pPr>
          </w:p>
        </w:tc>
        <w:tc>
          <w:tcPr>
            <w:tcW w:w="2825" w:type="dxa"/>
            <w:noWrap/>
            <w:vAlign w:val="center"/>
          </w:tcPr>
          <w:p>
            <w:pPr>
              <w:tabs>
                <w:tab w:val="left" w:pos="6300"/>
              </w:tabs>
              <w:snapToGrid w:val="0"/>
              <w:jc w:val="center"/>
              <w:outlineLvl w:val="0"/>
              <w:rPr>
                <w:rFonts w:ascii="宋体" w:hAnsi="宋体"/>
                <w:sz w:val="21"/>
                <w:szCs w:val="21"/>
              </w:rPr>
            </w:pPr>
          </w:p>
        </w:tc>
        <w:tc>
          <w:tcPr>
            <w:tcW w:w="2825" w:type="dxa"/>
            <w:noWrap/>
            <w:vAlign w:val="center"/>
          </w:tcPr>
          <w:p>
            <w:pPr>
              <w:tabs>
                <w:tab w:val="left" w:pos="6300"/>
              </w:tabs>
              <w:snapToGrid w:val="0"/>
              <w:jc w:val="center"/>
              <w:outlineLvl w:val="0"/>
              <w:rPr>
                <w:rFonts w:ascii="宋体" w:hAnsi="宋体"/>
                <w:sz w:val="21"/>
                <w:szCs w:val="21"/>
              </w:rPr>
            </w:pPr>
          </w:p>
        </w:tc>
        <w:tc>
          <w:tcPr>
            <w:tcW w:w="2268" w:type="dxa"/>
            <w:noWrap/>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80" w:type="dxa"/>
            <w:noWrap/>
            <w:vAlign w:val="center"/>
          </w:tcPr>
          <w:p>
            <w:pPr>
              <w:tabs>
                <w:tab w:val="left" w:pos="6300"/>
              </w:tabs>
              <w:snapToGrid w:val="0"/>
              <w:jc w:val="center"/>
              <w:outlineLvl w:val="0"/>
              <w:rPr>
                <w:rFonts w:ascii="宋体" w:hAnsi="宋体"/>
                <w:sz w:val="21"/>
                <w:szCs w:val="21"/>
              </w:rPr>
            </w:pPr>
          </w:p>
        </w:tc>
        <w:tc>
          <w:tcPr>
            <w:tcW w:w="2825" w:type="dxa"/>
            <w:noWrap/>
            <w:vAlign w:val="center"/>
          </w:tcPr>
          <w:p>
            <w:pPr>
              <w:tabs>
                <w:tab w:val="left" w:pos="6300"/>
              </w:tabs>
              <w:snapToGrid w:val="0"/>
              <w:jc w:val="center"/>
              <w:outlineLvl w:val="0"/>
              <w:rPr>
                <w:rFonts w:ascii="宋体" w:hAnsi="宋体"/>
                <w:sz w:val="21"/>
                <w:szCs w:val="21"/>
              </w:rPr>
            </w:pPr>
          </w:p>
        </w:tc>
        <w:tc>
          <w:tcPr>
            <w:tcW w:w="2825" w:type="dxa"/>
            <w:noWrap/>
            <w:vAlign w:val="center"/>
          </w:tcPr>
          <w:p>
            <w:pPr>
              <w:tabs>
                <w:tab w:val="left" w:pos="6300"/>
              </w:tabs>
              <w:snapToGrid w:val="0"/>
              <w:jc w:val="center"/>
              <w:outlineLvl w:val="0"/>
              <w:rPr>
                <w:rFonts w:ascii="宋体" w:hAnsi="宋体"/>
                <w:sz w:val="21"/>
                <w:szCs w:val="21"/>
              </w:rPr>
            </w:pPr>
          </w:p>
        </w:tc>
        <w:tc>
          <w:tcPr>
            <w:tcW w:w="2268" w:type="dxa"/>
            <w:noWrap/>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80" w:type="dxa"/>
            <w:noWrap/>
            <w:vAlign w:val="center"/>
          </w:tcPr>
          <w:p>
            <w:pPr>
              <w:tabs>
                <w:tab w:val="left" w:pos="6300"/>
              </w:tabs>
              <w:snapToGrid w:val="0"/>
              <w:jc w:val="center"/>
              <w:outlineLvl w:val="0"/>
              <w:rPr>
                <w:rFonts w:ascii="宋体" w:hAnsi="宋体"/>
                <w:sz w:val="21"/>
                <w:szCs w:val="21"/>
              </w:rPr>
            </w:pPr>
          </w:p>
        </w:tc>
        <w:tc>
          <w:tcPr>
            <w:tcW w:w="2825" w:type="dxa"/>
            <w:noWrap/>
            <w:vAlign w:val="center"/>
          </w:tcPr>
          <w:p>
            <w:pPr>
              <w:tabs>
                <w:tab w:val="left" w:pos="6300"/>
              </w:tabs>
              <w:snapToGrid w:val="0"/>
              <w:jc w:val="center"/>
              <w:outlineLvl w:val="0"/>
              <w:rPr>
                <w:rFonts w:ascii="宋体" w:hAnsi="宋体"/>
                <w:sz w:val="21"/>
                <w:szCs w:val="21"/>
              </w:rPr>
            </w:pPr>
          </w:p>
        </w:tc>
        <w:tc>
          <w:tcPr>
            <w:tcW w:w="2825" w:type="dxa"/>
            <w:noWrap/>
            <w:vAlign w:val="center"/>
          </w:tcPr>
          <w:p>
            <w:pPr>
              <w:tabs>
                <w:tab w:val="left" w:pos="6300"/>
              </w:tabs>
              <w:snapToGrid w:val="0"/>
              <w:jc w:val="center"/>
              <w:outlineLvl w:val="0"/>
              <w:rPr>
                <w:rFonts w:ascii="宋体" w:hAnsi="宋体"/>
                <w:sz w:val="21"/>
                <w:szCs w:val="21"/>
              </w:rPr>
            </w:pPr>
          </w:p>
        </w:tc>
        <w:tc>
          <w:tcPr>
            <w:tcW w:w="2268" w:type="dxa"/>
            <w:noWrap/>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80" w:type="dxa"/>
            <w:noWrap/>
            <w:vAlign w:val="center"/>
          </w:tcPr>
          <w:p>
            <w:pPr>
              <w:tabs>
                <w:tab w:val="left" w:pos="6300"/>
              </w:tabs>
              <w:snapToGrid w:val="0"/>
              <w:jc w:val="center"/>
              <w:outlineLvl w:val="0"/>
              <w:rPr>
                <w:rFonts w:ascii="宋体" w:hAnsi="宋体"/>
                <w:sz w:val="21"/>
                <w:szCs w:val="21"/>
              </w:rPr>
            </w:pPr>
          </w:p>
        </w:tc>
        <w:tc>
          <w:tcPr>
            <w:tcW w:w="2825" w:type="dxa"/>
            <w:noWrap/>
            <w:vAlign w:val="center"/>
          </w:tcPr>
          <w:p>
            <w:pPr>
              <w:tabs>
                <w:tab w:val="left" w:pos="6300"/>
              </w:tabs>
              <w:snapToGrid w:val="0"/>
              <w:jc w:val="center"/>
              <w:outlineLvl w:val="0"/>
              <w:rPr>
                <w:rFonts w:ascii="宋体" w:hAnsi="宋体"/>
                <w:sz w:val="21"/>
                <w:szCs w:val="21"/>
              </w:rPr>
            </w:pPr>
          </w:p>
        </w:tc>
        <w:tc>
          <w:tcPr>
            <w:tcW w:w="2825" w:type="dxa"/>
            <w:noWrap/>
            <w:vAlign w:val="center"/>
          </w:tcPr>
          <w:p>
            <w:pPr>
              <w:tabs>
                <w:tab w:val="left" w:pos="6300"/>
              </w:tabs>
              <w:snapToGrid w:val="0"/>
              <w:jc w:val="center"/>
              <w:outlineLvl w:val="0"/>
              <w:rPr>
                <w:rFonts w:ascii="宋体" w:hAnsi="宋体"/>
                <w:sz w:val="21"/>
                <w:szCs w:val="21"/>
              </w:rPr>
            </w:pPr>
          </w:p>
        </w:tc>
        <w:tc>
          <w:tcPr>
            <w:tcW w:w="2268" w:type="dxa"/>
            <w:noWrap/>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80" w:type="dxa"/>
            <w:noWrap/>
            <w:vAlign w:val="center"/>
          </w:tcPr>
          <w:p>
            <w:pPr>
              <w:tabs>
                <w:tab w:val="left" w:pos="6300"/>
              </w:tabs>
              <w:snapToGrid w:val="0"/>
              <w:jc w:val="center"/>
              <w:outlineLvl w:val="0"/>
              <w:rPr>
                <w:rFonts w:ascii="宋体" w:hAnsi="宋体"/>
                <w:sz w:val="21"/>
                <w:szCs w:val="21"/>
              </w:rPr>
            </w:pPr>
          </w:p>
        </w:tc>
        <w:tc>
          <w:tcPr>
            <w:tcW w:w="2825" w:type="dxa"/>
            <w:noWrap/>
            <w:vAlign w:val="center"/>
          </w:tcPr>
          <w:p>
            <w:pPr>
              <w:tabs>
                <w:tab w:val="left" w:pos="6300"/>
              </w:tabs>
              <w:snapToGrid w:val="0"/>
              <w:jc w:val="center"/>
              <w:outlineLvl w:val="0"/>
              <w:rPr>
                <w:rFonts w:ascii="宋体" w:hAnsi="宋体"/>
                <w:sz w:val="21"/>
                <w:szCs w:val="21"/>
              </w:rPr>
            </w:pPr>
          </w:p>
        </w:tc>
        <w:tc>
          <w:tcPr>
            <w:tcW w:w="2825" w:type="dxa"/>
            <w:noWrap/>
            <w:vAlign w:val="center"/>
          </w:tcPr>
          <w:p>
            <w:pPr>
              <w:tabs>
                <w:tab w:val="left" w:pos="6300"/>
              </w:tabs>
              <w:snapToGrid w:val="0"/>
              <w:jc w:val="center"/>
              <w:outlineLvl w:val="0"/>
              <w:rPr>
                <w:rFonts w:ascii="宋体" w:hAnsi="宋体"/>
                <w:sz w:val="21"/>
                <w:szCs w:val="21"/>
              </w:rPr>
            </w:pPr>
          </w:p>
        </w:tc>
        <w:tc>
          <w:tcPr>
            <w:tcW w:w="2268" w:type="dxa"/>
            <w:noWrap/>
            <w:vAlign w:val="center"/>
          </w:tcPr>
          <w:p>
            <w:pPr>
              <w:tabs>
                <w:tab w:val="left" w:pos="6300"/>
              </w:tabs>
              <w:snapToGrid w:val="0"/>
              <w:jc w:val="center"/>
              <w:outlineLvl w:val="0"/>
              <w:rPr>
                <w:rFonts w:ascii="宋体" w:hAnsi="宋体"/>
                <w:sz w:val="21"/>
                <w:szCs w:val="21"/>
              </w:rPr>
            </w:pPr>
          </w:p>
        </w:tc>
      </w:tr>
    </w:tbl>
    <w:p>
      <w:pPr>
        <w:spacing w:line="360" w:lineRule="auto"/>
        <w:rPr>
          <w:rFonts w:ascii="宋体" w:hAnsi="宋体"/>
          <w:sz w:val="24"/>
          <w:szCs w:val="28"/>
        </w:rPr>
      </w:pPr>
      <w:r>
        <w:rPr>
          <w:rFonts w:hint="eastAsia" w:ascii="宋体" w:hAnsi="宋体"/>
          <w:sz w:val="24"/>
          <w:szCs w:val="28"/>
        </w:rPr>
        <w:t xml:space="preserve">   供应商：           法定代表人（或法定代表人授权代表）或自然人：</w:t>
      </w:r>
    </w:p>
    <w:p>
      <w:pPr>
        <w:tabs>
          <w:tab w:val="left" w:pos="6300"/>
        </w:tabs>
        <w:snapToGrid w:val="0"/>
        <w:spacing w:line="360" w:lineRule="auto"/>
        <w:rPr>
          <w:rFonts w:ascii="宋体" w:hAnsi="宋体"/>
          <w:sz w:val="24"/>
          <w:szCs w:val="24"/>
        </w:rPr>
      </w:pPr>
      <w:r>
        <w:rPr>
          <w:rFonts w:hint="eastAsia" w:ascii="宋体" w:hAnsi="宋体"/>
          <w:sz w:val="24"/>
          <w:szCs w:val="24"/>
        </w:rPr>
        <w:t xml:space="preserve">  （供应商公章）                               （签字或盖章）</w:t>
      </w:r>
    </w:p>
    <w:p>
      <w:pPr>
        <w:tabs>
          <w:tab w:val="left" w:pos="6300"/>
        </w:tabs>
        <w:snapToGrid w:val="0"/>
        <w:spacing w:line="360" w:lineRule="auto"/>
        <w:rPr>
          <w:rFonts w:ascii="宋体" w:hAnsi="宋体"/>
          <w:sz w:val="24"/>
          <w:szCs w:val="24"/>
        </w:rPr>
      </w:pP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 xml:space="preserve">                                            年     月     日</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注：1.本表即为对本项目“第三篇 项目商务需求”中所列商务条款进行比较和响应；</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2.该表必须按照采购文件要求逐条如实填写，根据响应情况在“差异说明”项填写正偏离或负偏离及原因，完全符合的填写“无差异”。</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3.该表可扩展。</w:t>
      </w:r>
    </w:p>
    <w:p>
      <w:pPr>
        <w:pStyle w:val="22"/>
      </w:pPr>
    </w:p>
    <w:p>
      <w:pPr>
        <w:snapToGrid w:val="0"/>
        <w:spacing w:line="360" w:lineRule="auto"/>
        <w:ind w:firstLine="480" w:firstLineChars="200"/>
        <w:rPr>
          <w:rFonts w:ascii="宋体" w:hAnsi="宋体"/>
          <w:sz w:val="24"/>
          <w:szCs w:val="24"/>
        </w:rPr>
      </w:pPr>
      <w:r>
        <w:rPr>
          <w:rFonts w:hint="eastAsia" w:ascii="宋体" w:hAnsi="宋体"/>
          <w:sz w:val="24"/>
          <w:szCs w:val="24"/>
        </w:rPr>
        <w:t>（三）其它优惠承诺（格式自定）</w:t>
      </w:r>
    </w:p>
    <w:p>
      <w:pPr>
        <w:snapToGrid w:val="0"/>
        <w:spacing w:line="360" w:lineRule="auto"/>
        <w:ind w:firstLine="480" w:firstLineChars="200"/>
        <w:rPr>
          <w:rFonts w:ascii="宋体" w:hAnsi="宋体"/>
          <w:sz w:val="24"/>
          <w:szCs w:val="24"/>
        </w:rPr>
      </w:pPr>
    </w:p>
    <w:p>
      <w:pPr>
        <w:pageBreakBefore/>
        <w:snapToGrid w:val="0"/>
        <w:spacing w:line="360" w:lineRule="auto"/>
        <w:ind w:firstLine="482" w:firstLineChars="200"/>
        <w:rPr>
          <w:b/>
          <w:sz w:val="24"/>
          <w:szCs w:val="24"/>
        </w:rPr>
      </w:pPr>
      <w:r>
        <w:rPr>
          <w:rFonts w:hint="eastAsia"/>
          <w:b/>
          <w:sz w:val="24"/>
          <w:szCs w:val="24"/>
        </w:rPr>
        <w:t>四、资格部分</w:t>
      </w:r>
    </w:p>
    <w:p>
      <w:pPr>
        <w:snapToGrid w:val="0"/>
        <w:spacing w:line="360" w:lineRule="auto"/>
        <w:ind w:firstLine="480" w:firstLineChars="200"/>
        <w:rPr>
          <w:rFonts w:ascii="宋体" w:hAnsi="宋体"/>
          <w:sz w:val="24"/>
          <w:szCs w:val="24"/>
        </w:rPr>
      </w:pPr>
      <w:r>
        <w:rPr>
          <w:rFonts w:hint="eastAsia" w:ascii="宋体" w:hAnsi="宋体"/>
          <w:sz w:val="24"/>
          <w:szCs w:val="24"/>
        </w:rPr>
        <w:t>（一）法人营业执照（副本）或事业单位法人证书（副本）或个体工商户营业执照或有效的自然人身份证明或社会团体法人登记证书复印件</w:t>
      </w:r>
    </w:p>
    <w:p>
      <w:pPr>
        <w:snapToGrid w:val="0"/>
        <w:spacing w:line="360" w:lineRule="auto"/>
        <w:ind w:firstLine="480" w:firstLineChars="200"/>
        <w:rPr>
          <w:rFonts w:ascii="宋体" w:hAnsi="宋体"/>
          <w:sz w:val="24"/>
          <w:szCs w:val="24"/>
        </w:rPr>
      </w:pPr>
    </w:p>
    <w:p>
      <w:pPr>
        <w:snapToGrid w:val="0"/>
        <w:spacing w:line="360" w:lineRule="auto"/>
        <w:ind w:firstLine="480" w:firstLineChars="200"/>
        <w:rPr>
          <w:rFonts w:ascii="宋体" w:hAnsi="宋体"/>
          <w:sz w:val="24"/>
          <w:szCs w:val="24"/>
        </w:rPr>
      </w:pPr>
      <w:r>
        <w:rPr>
          <w:rFonts w:hint="eastAsia" w:ascii="宋体" w:hAnsi="宋体"/>
          <w:sz w:val="24"/>
          <w:szCs w:val="24"/>
        </w:rPr>
        <w:t>（二）</w:t>
      </w:r>
      <w:r>
        <w:rPr>
          <w:rFonts w:ascii="宋体" w:hAnsi="宋体"/>
          <w:sz w:val="24"/>
          <w:szCs w:val="24"/>
        </w:rPr>
        <w:t>法定代表人身份证明书（格式）</w:t>
      </w:r>
    </w:p>
    <w:p>
      <w:pPr>
        <w:tabs>
          <w:tab w:val="left" w:pos="6300"/>
        </w:tabs>
        <w:snapToGrid w:val="0"/>
        <w:spacing w:line="500" w:lineRule="exact"/>
        <w:jc w:val="center"/>
        <w:rPr>
          <w:rFonts w:ascii="宋体" w:hAnsi="宋体"/>
          <w:sz w:val="24"/>
        </w:rPr>
      </w:pPr>
      <w:r>
        <w:rPr>
          <w:rFonts w:ascii="宋体" w:hAnsi="宋体"/>
          <w:sz w:val="24"/>
        </w:rPr>
        <w:t>法定代表人身份证明书</w:t>
      </w:r>
    </w:p>
    <w:p>
      <w:pPr>
        <w:tabs>
          <w:tab w:val="left" w:pos="6300"/>
        </w:tabs>
        <w:snapToGrid w:val="0"/>
        <w:spacing w:line="500" w:lineRule="exact"/>
        <w:jc w:val="center"/>
        <w:rPr>
          <w:rFonts w:ascii="宋体" w:hAnsi="宋体"/>
          <w:sz w:val="24"/>
          <w:szCs w:val="24"/>
        </w:rPr>
      </w:pPr>
    </w:p>
    <w:p>
      <w:pPr>
        <w:tabs>
          <w:tab w:val="left" w:pos="6300"/>
        </w:tabs>
        <w:snapToGrid w:val="0"/>
        <w:spacing w:line="500" w:lineRule="exact"/>
        <w:ind w:firstLine="570"/>
        <w:rPr>
          <w:rFonts w:ascii="宋体" w:hAnsi="宋体"/>
          <w:sz w:val="24"/>
          <w:szCs w:val="24"/>
        </w:rPr>
      </w:pPr>
      <w:r>
        <w:rPr>
          <w:rFonts w:ascii="宋体" w:hAnsi="宋体"/>
          <w:sz w:val="24"/>
          <w:szCs w:val="24"/>
        </w:rPr>
        <w:t>项目名称：</w:t>
      </w:r>
    </w:p>
    <w:p>
      <w:pPr>
        <w:tabs>
          <w:tab w:val="left" w:pos="6300"/>
        </w:tabs>
        <w:snapToGrid w:val="0"/>
        <w:spacing w:line="500" w:lineRule="exact"/>
        <w:ind w:firstLine="570"/>
        <w:rPr>
          <w:rFonts w:ascii="宋体" w:hAnsi="宋体"/>
          <w:sz w:val="24"/>
          <w:szCs w:val="24"/>
        </w:rPr>
      </w:pPr>
    </w:p>
    <w:p>
      <w:pPr>
        <w:tabs>
          <w:tab w:val="left" w:pos="6300"/>
        </w:tabs>
        <w:snapToGrid w:val="0"/>
        <w:spacing w:line="500" w:lineRule="exact"/>
        <w:ind w:firstLine="570"/>
        <w:rPr>
          <w:rFonts w:ascii="宋体" w:hAnsi="宋体"/>
          <w:sz w:val="24"/>
          <w:szCs w:val="24"/>
        </w:rPr>
      </w:pPr>
      <w:r>
        <w:rPr>
          <w:rFonts w:ascii="宋体" w:hAnsi="宋体"/>
          <w:sz w:val="24"/>
          <w:szCs w:val="24"/>
        </w:rPr>
        <w:t>致：（</w:t>
      </w:r>
      <w:r>
        <w:rPr>
          <w:rFonts w:hint="eastAsia" w:ascii="宋体" w:hAnsi="宋体"/>
          <w:sz w:val="24"/>
          <w:szCs w:val="24"/>
        </w:rPr>
        <w:t>采购人</w:t>
      </w:r>
      <w:r>
        <w:rPr>
          <w:rFonts w:ascii="宋体" w:hAnsi="宋体"/>
          <w:sz w:val="24"/>
          <w:szCs w:val="24"/>
        </w:rPr>
        <w:t>）：</w:t>
      </w:r>
    </w:p>
    <w:p>
      <w:pPr>
        <w:tabs>
          <w:tab w:val="left" w:pos="6300"/>
        </w:tabs>
        <w:snapToGrid w:val="0"/>
        <w:spacing w:line="500" w:lineRule="exact"/>
        <w:ind w:firstLine="570"/>
        <w:rPr>
          <w:rFonts w:ascii="宋体" w:hAnsi="宋体"/>
          <w:sz w:val="24"/>
          <w:szCs w:val="24"/>
        </w:rPr>
      </w:pPr>
      <w:r>
        <w:rPr>
          <w:rFonts w:ascii="宋体" w:hAnsi="宋体"/>
          <w:sz w:val="24"/>
          <w:szCs w:val="24"/>
        </w:rPr>
        <w:t>（法定代表人姓名）在（供应商名称）任（职务名称）职务，是（供应商名称）的法定代表人。</w:t>
      </w:r>
    </w:p>
    <w:p>
      <w:pPr>
        <w:tabs>
          <w:tab w:val="left" w:pos="6300"/>
        </w:tabs>
        <w:snapToGrid w:val="0"/>
        <w:spacing w:line="500" w:lineRule="exact"/>
        <w:ind w:firstLine="570"/>
        <w:rPr>
          <w:rFonts w:ascii="宋体" w:hAnsi="宋体"/>
          <w:sz w:val="24"/>
          <w:szCs w:val="24"/>
        </w:rPr>
      </w:pPr>
    </w:p>
    <w:p>
      <w:pPr>
        <w:tabs>
          <w:tab w:val="left" w:pos="6300"/>
        </w:tabs>
        <w:snapToGrid w:val="0"/>
        <w:spacing w:line="500" w:lineRule="exact"/>
        <w:ind w:firstLine="570"/>
        <w:rPr>
          <w:sz w:val="24"/>
          <w:szCs w:val="24"/>
        </w:rPr>
      </w:pPr>
      <w:r>
        <w:rPr>
          <w:rFonts w:ascii="宋体" w:hAnsi="宋体"/>
          <w:sz w:val="24"/>
          <w:szCs w:val="24"/>
        </w:rPr>
        <w:t>特此证</w:t>
      </w:r>
      <w:r>
        <w:rPr>
          <w:sz w:val="24"/>
          <w:szCs w:val="24"/>
        </w:rPr>
        <w:t>明。</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r>
        <w:rPr>
          <w:sz w:val="24"/>
          <w:szCs w:val="24"/>
        </w:rPr>
        <w:t xml:space="preserve">                                             （供应商公章）</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r>
        <w:rPr>
          <w:sz w:val="24"/>
          <w:szCs w:val="24"/>
        </w:rPr>
        <w:t xml:space="preserve">                                             年   月   日</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r>
        <w:rPr>
          <w:sz w:val="24"/>
          <w:szCs w:val="24"/>
        </w:rPr>
        <w:t>（附：法定代表人身份证正反面复印件）</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rPr>
      </w:pPr>
    </w:p>
    <w:p>
      <w:pPr>
        <w:tabs>
          <w:tab w:val="left" w:pos="6300"/>
        </w:tabs>
        <w:snapToGrid w:val="0"/>
        <w:spacing w:line="500" w:lineRule="exact"/>
        <w:ind w:firstLine="570"/>
        <w:rPr>
          <w:sz w:val="24"/>
        </w:rPr>
      </w:pPr>
    </w:p>
    <w:p>
      <w:pPr>
        <w:tabs>
          <w:tab w:val="left" w:pos="6300"/>
        </w:tabs>
        <w:snapToGrid w:val="0"/>
        <w:spacing w:line="500" w:lineRule="exact"/>
        <w:ind w:firstLine="570"/>
        <w:rPr>
          <w:sz w:val="24"/>
        </w:rPr>
      </w:pPr>
    </w:p>
    <w:p>
      <w:pPr>
        <w:tabs>
          <w:tab w:val="left" w:pos="6300"/>
        </w:tabs>
        <w:snapToGrid w:val="0"/>
        <w:spacing w:line="500" w:lineRule="exact"/>
        <w:ind w:firstLine="480" w:firstLineChars="200"/>
        <w:rPr>
          <w:rFonts w:ascii="宋体" w:hAnsi="宋体"/>
          <w:sz w:val="24"/>
          <w:szCs w:val="24"/>
        </w:rPr>
      </w:pPr>
    </w:p>
    <w:p>
      <w:pPr>
        <w:pageBreakBefore/>
        <w:snapToGrid w:val="0"/>
        <w:spacing w:line="360" w:lineRule="auto"/>
        <w:ind w:firstLine="480" w:firstLineChars="200"/>
        <w:rPr>
          <w:rFonts w:ascii="宋体" w:hAnsi="宋体"/>
          <w:sz w:val="24"/>
          <w:szCs w:val="24"/>
        </w:rPr>
      </w:pPr>
      <w:r>
        <w:rPr>
          <w:rFonts w:hint="eastAsia" w:ascii="宋体" w:hAnsi="宋体"/>
          <w:sz w:val="24"/>
          <w:szCs w:val="24"/>
        </w:rPr>
        <w:t>（三）</w:t>
      </w:r>
      <w:r>
        <w:rPr>
          <w:rFonts w:ascii="宋体" w:hAnsi="宋体"/>
          <w:sz w:val="24"/>
          <w:szCs w:val="24"/>
        </w:rPr>
        <w:t>法定代表人授权委托书（格式）</w:t>
      </w:r>
    </w:p>
    <w:p>
      <w:pPr>
        <w:tabs>
          <w:tab w:val="left" w:pos="6300"/>
        </w:tabs>
        <w:snapToGrid w:val="0"/>
        <w:spacing w:line="500" w:lineRule="exact"/>
        <w:jc w:val="center"/>
        <w:rPr>
          <w:sz w:val="24"/>
          <w:szCs w:val="28"/>
        </w:rPr>
      </w:pPr>
      <w:r>
        <w:rPr>
          <w:sz w:val="24"/>
          <w:szCs w:val="28"/>
        </w:rPr>
        <w:t>法定代表人授权委托书</w:t>
      </w:r>
    </w:p>
    <w:p>
      <w:pPr>
        <w:tabs>
          <w:tab w:val="left" w:pos="6300"/>
        </w:tabs>
        <w:snapToGrid w:val="0"/>
        <w:spacing w:line="500" w:lineRule="exact"/>
        <w:jc w:val="center"/>
        <w:rPr>
          <w:sz w:val="24"/>
          <w:szCs w:val="24"/>
        </w:rPr>
      </w:pPr>
    </w:p>
    <w:p>
      <w:pPr>
        <w:tabs>
          <w:tab w:val="left" w:pos="6300"/>
        </w:tabs>
        <w:snapToGrid w:val="0"/>
        <w:spacing w:line="500" w:lineRule="exact"/>
        <w:ind w:firstLine="480" w:firstLineChars="200"/>
        <w:rPr>
          <w:sz w:val="24"/>
          <w:szCs w:val="24"/>
        </w:rPr>
      </w:pPr>
      <w:r>
        <w:rPr>
          <w:sz w:val="24"/>
          <w:szCs w:val="24"/>
        </w:rPr>
        <w:t>项目名称：</w:t>
      </w:r>
    </w:p>
    <w:p>
      <w:pPr>
        <w:tabs>
          <w:tab w:val="left" w:pos="6300"/>
        </w:tabs>
        <w:snapToGrid w:val="0"/>
        <w:spacing w:line="500" w:lineRule="exact"/>
        <w:ind w:firstLine="570"/>
        <w:rPr>
          <w:sz w:val="24"/>
          <w:szCs w:val="24"/>
        </w:rPr>
      </w:pPr>
    </w:p>
    <w:p>
      <w:pPr>
        <w:tabs>
          <w:tab w:val="left" w:pos="6300"/>
        </w:tabs>
        <w:snapToGrid w:val="0"/>
        <w:spacing w:line="500" w:lineRule="exact"/>
        <w:ind w:firstLine="480" w:firstLineChars="200"/>
        <w:rPr>
          <w:sz w:val="24"/>
          <w:szCs w:val="24"/>
        </w:rPr>
      </w:pPr>
      <w:r>
        <w:rPr>
          <w:sz w:val="24"/>
          <w:szCs w:val="24"/>
        </w:rPr>
        <w:t>致：（</w:t>
      </w:r>
      <w:r>
        <w:rPr>
          <w:sz w:val="24"/>
          <w:szCs w:val="24"/>
          <w:u w:val="single"/>
        </w:rPr>
        <w:t>采购</w:t>
      </w:r>
      <w:r>
        <w:rPr>
          <w:rFonts w:hint="eastAsia"/>
          <w:sz w:val="24"/>
          <w:szCs w:val="24"/>
          <w:u w:val="single"/>
        </w:rPr>
        <w:t>人</w:t>
      </w:r>
      <w:r>
        <w:rPr>
          <w:sz w:val="24"/>
          <w:szCs w:val="24"/>
        </w:rPr>
        <w:t>）：</w:t>
      </w:r>
    </w:p>
    <w:p>
      <w:pPr>
        <w:tabs>
          <w:tab w:val="left" w:pos="6300"/>
        </w:tabs>
        <w:snapToGrid w:val="0"/>
        <w:spacing w:line="500" w:lineRule="exact"/>
        <w:ind w:firstLine="480" w:firstLineChars="200"/>
        <w:rPr>
          <w:sz w:val="24"/>
          <w:szCs w:val="24"/>
        </w:rPr>
      </w:pPr>
      <w:r>
        <w:rPr>
          <w:sz w:val="24"/>
          <w:szCs w:val="24"/>
        </w:rPr>
        <w:t>（供应商法定代表人名称）是（供应商名称）的法定代表人，特授权（被授权人姓名及身份证代码）代表我单位全权办理上述项目的投标、谈判、签约等具体工作，并签署全部有关文件、协议及合同。</w:t>
      </w:r>
    </w:p>
    <w:p>
      <w:pPr>
        <w:tabs>
          <w:tab w:val="left" w:pos="6300"/>
        </w:tabs>
        <w:snapToGrid w:val="0"/>
        <w:spacing w:line="500" w:lineRule="exact"/>
        <w:ind w:firstLine="480" w:firstLineChars="200"/>
        <w:rPr>
          <w:sz w:val="24"/>
          <w:szCs w:val="24"/>
        </w:rPr>
      </w:pPr>
      <w:r>
        <w:rPr>
          <w:sz w:val="24"/>
          <w:szCs w:val="24"/>
        </w:rPr>
        <w:t>我单位对被授权人的签字负全部责任。</w:t>
      </w:r>
    </w:p>
    <w:p>
      <w:pPr>
        <w:tabs>
          <w:tab w:val="left" w:pos="6300"/>
        </w:tabs>
        <w:snapToGrid w:val="0"/>
        <w:spacing w:line="500" w:lineRule="exact"/>
        <w:ind w:firstLine="480" w:firstLineChars="200"/>
        <w:rPr>
          <w:sz w:val="24"/>
          <w:szCs w:val="24"/>
        </w:rPr>
      </w:pPr>
      <w:r>
        <w:rPr>
          <w:sz w:val="24"/>
          <w:szCs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r>
        <w:rPr>
          <w:sz w:val="24"/>
          <w:szCs w:val="24"/>
        </w:rPr>
        <w:t>被授权人：                                 供应商法定代表人：</w:t>
      </w:r>
    </w:p>
    <w:p>
      <w:pPr>
        <w:tabs>
          <w:tab w:val="left" w:pos="6300"/>
        </w:tabs>
        <w:snapToGrid w:val="0"/>
        <w:spacing w:line="500" w:lineRule="exact"/>
        <w:ind w:firstLine="570"/>
        <w:rPr>
          <w:sz w:val="24"/>
          <w:szCs w:val="24"/>
        </w:rPr>
      </w:pPr>
      <w:r>
        <w:rPr>
          <w:sz w:val="24"/>
          <w:szCs w:val="24"/>
        </w:rPr>
        <w:t>（签字或盖章）                                （签字或盖章）</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r>
        <w:rPr>
          <w:sz w:val="24"/>
          <w:szCs w:val="24"/>
        </w:rPr>
        <w:t>（附：被授权人身份证正反面复印件）</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right="480" w:firstLine="570"/>
        <w:jc w:val="right"/>
        <w:rPr>
          <w:sz w:val="24"/>
          <w:szCs w:val="24"/>
        </w:rPr>
      </w:pPr>
      <w:r>
        <w:rPr>
          <w:sz w:val="24"/>
          <w:szCs w:val="24"/>
        </w:rPr>
        <w:t>（供应商公章）</w:t>
      </w:r>
    </w:p>
    <w:p>
      <w:pPr>
        <w:tabs>
          <w:tab w:val="left" w:pos="6300"/>
        </w:tabs>
        <w:snapToGrid w:val="0"/>
        <w:spacing w:line="500" w:lineRule="exact"/>
        <w:ind w:right="480" w:firstLine="570"/>
        <w:jc w:val="right"/>
        <w:rPr>
          <w:sz w:val="24"/>
          <w:szCs w:val="24"/>
        </w:rPr>
      </w:pPr>
      <w:r>
        <w:rPr>
          <w:sz w:val="24"/>
          <w:szCs w:val="24"/>
        </w:rPr>
        <w:t>年   月   日</w:t>
      </w:r>
    </w:p>
    <w:p>
      <w:pPr>
        <w:tabs>
          <w:tab w:val="left" w:pos="6300"/>
        </w:tabs>
        <w:snapToGrid w:val="0"/>
        <w:spacing w:line="500" w:lineRule="exact"/>
        <w:ind w:right="480" w:firstLine="570"/>
        <w:jc w:val="right"/>
        <w:rPr>
          <w:sz w:val="24"/>
          <w:szCs w:val="24"/>
        </w:rPr>
      </w:pPr>
    </w:p>
    <w:p>
      <w:pPr>
        <w:tabs>
          <w:tab w:val="left" w:pos="6300"/>
        </w:tabs>
        <w:snapToGrid w:val="0"/>
        <w:spacing w:line="500" w:lineRule="exact"/>
        <w:ind w:right="480" w:firstLine="570"/>
        <w:jc w:val="left"/>
        <w:rPr>
          <w:rFonts w:ascii="宋体" w:hAnsi="宋体"/>
          <w:sz w:val="24"/>
          <w:szCs w:val="24"/>
        </w:rPr>
      </w:pPr>
      <w:r>
        <w:rPr>
          <w:sz w:val="24"/>
          <w:szCs w:val="24"/>
        </w:rPr>
        <w:t>注：</w:t>
      </w:r>
      <w:r>
        <w:rPr>
          <w:rFonts w:ascii="宋体" w:hAnsi="宋体"/>
          <w:sz w:val="24"/>
          <w:szCs w:val="24"/>
        </w:rPr>
        <w:t>若为法定代表人办理并签署响应文件的，不提供此文件。</w:t>
      </w:r>
    </w:p>
    <w:p>
      <w:pPr>
        <w:pageBreakBefore/>
        <w:tabs>
          <w:tab w:val="left" w:pos="6300"/>
        </w:tabs>
        <w:snapToGrid w:val="0"/>
        <w:spacing w:line="500" w:lineRule="exact"/>
        <w:ind w:firstLine="480" w:firstLineChars="200"/>
        <w:rPr>
          <w:rFonts w:ascii="宋体" w:hAnsi="宋体"/>
          <w:sz w:val="24"/>
          <w:szCs w:val="24"/>
        </w:rPr>
      </w:pPr>
      <w:r>
        <w:rPr>
          <w:rFonts w:hint="eastAsia" w:ascii="宋体" w:hAnsi="宋体"/>
          <w:sz w:val="24"/>
          <w:szCs w:val="24"/>
        </w:rPr>
        <w:t>（四）基本资格条件承诺函</w:t>
      </w:r>
    </w:p>
    <w:p>
      <w:pPr>
        <w:tabs>
          <w:tab w:val="left" w:pos="6300"/>
        </w:tabs>
        <w:snapToGrid w:val="0"/>
        <w:spacing w:line="500" w:lineRule="exact"/>
        <w:ind w:firstLine="480" w:firstLineChars="200"/>
        <w:jc w:val="center"/>
        <w:rPr>
          <w:rFonts w:ascii="宋体" w:hAnsi="宋体"/>
          <w:sz w:val="24"/>
          <w:szCs w:val="24"/>
        </w:rPr>
      </w:pPr>
      <w:r>
        <w:rPr>
          <w:rFonts w:hint="eastAsia" w:ascii="宋体" w:hAnsi="宋体"/>
          <w:sz w:val="24"/>
          <w:szCs w:val="24"/>
        </w:rPr>
        <w:t>基本资格条件承诺函</w:t>
      </w:r>
    </w:p>
    <w:p>
      <w:pPr>
        <w:tabs>
          <w:tab w:val="left" w:pos="6300"/>
        </w:tabs>
        <w:snapToGrid w:val="0"/>
        <w:spacing w:line="500" w:lineRule="exact"/>
        <w:ind w:firstLine="480" w:firstLineChars="200"/>
        <w:rPr>
          <w:rFonts w:ascii="宋体" w:hAnsi="宋体"/>
          <w:sz w:val="24"/>
          <w:szCs w:val="24"/>
        </w:rPr>
      </w:pPr>
      <w:r>
        <w:rPr>
          <w:rFonts w:hint="eastAsia" w:ascii="宋体" w:hAnsi="宋体"/>
          <w:sz w:val="24"/>
          <w:szCs w:val="24"/>
        </w:rPr>
        <w:t>致（采购代理机构名称）：</w:t>
      </w:r>
    </w:p>
    <w:p>
      <w:pPr>
        <w:tabs>
          <w:tab w:val="left" w:pos="6300"/>
        </w:tabs>
        <w:snapToGrid w:val="0"/>
        <w:spacing w:line="500" w:lineRule="exact"/>
        <w:ind w:firstLine="480" w:firstLineChars="200"/>
        <w:rPr>
          <w:rFonts w:ascii="宋体" w:hAnsi="宋体"/>
          <w:sz w:val="24"/>
          <w:szCs w:val="24"/>
        </w:rPr>
      </w:pPr>
      <w:r>
        <w:rPr>
          <w:rFonts w:hint="eastAsia" w:ascii="宋体" w:hAnsi="宋体"/>
          <w:sz w:val="24"/>
          <w:szCs w:val="24"/>
          <w:u w:val="single"/>
        </w:rPr>
        <w:t xml:space="preserve">                    （供应商名称）</w:t>
      </w:r>
      <w:r>
        <w:rPr>
          <w:rFonts w:hint="eastAsia" w:ascii="宋体" w:hAnsi="宋体"/>
          <w:sz w:val="24"/>
          <w:szCs w:val="24"/>
        </w:rPr>
        <w:t>郑重承诺：</w:t>
      </w:r>
    </w:p>
    <w:p>
      <w:pPr>
        <w:tabs>
          <w:tab w:val="left" w:pos="6300"/>
        </w:tabs>
        <w:snapToGrid w:val="0"/>
        <w:spacing w:line="500" w:lineRule="exact"/>
        <w:ind w:firstLine="480" w:firstLineChars="200"/>
        <w:rPr>
          <w:rFonts w:ascii="宋体" w:hAnsi="宋体"/>
          <w:sz w:val="24"/>
          <w:szCs w:val="24"/>
        </w:rPr>
      </w:pPr>
      <w:r>
        <w:rPr>
          <w:rFonts w:hint="eastAsia" w:ascii="宋体" w:hAnsi="宋体"/>
          <w:sz w:val="24"/>
          <w:szCs w:val="24"/>
        </w:rPr>
        <w:t>1.我方具有良好的商业信誉和健全的财务会计制度，具有履行合同所必需的设备和专业技术能力，具有依法缴纳税收和社会保障金的良好记录，参加本项目采购活动前三年内无重大违法活动记录。</w:t>
      </w:r>
    </w:p>
    <w:p>
      <w:pPr>
        <w:tabs>
          <w:tab w:val="left" w:pos="6300"/>
        </w:tabs>
        <w:snapToGrid w:val="0"/>
        <w:spacing w:line="500" w:lineRule="exact"/>
        <w:ind w:firstLine="480" w:firstLineChars="200"/>
        <w:rPr>
          <w:rFonts w:ascii="宋体" w:hAnsi="宋体"/>
          <w:sz w:val="24"/>
          <w:szCs w:val="24"/>
        </w:rPr>
      </w:pPr>
      <w:r>
        <w:rPr>
          <w:rFonts w:hint="eastAsia" w:ascii="宋体" w:hAnsi="宋体"/>
          <w:sz w:val="24"/>
          <w:szCs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ascii="宋体" w:hAnsi="宋体"/>
          <w:sz w:val="24"/>
          <w:szCs w:val="24"/>
        </w:rPr>
      </w:pPr>
      <w:r>
        <w:rPr>
          <w:rFonts w:hint="eastAsia" w:ascii="宋体" w:hAnsi="宋体"/>
          <w:sz w:val="24"/>
          <w:szCs w:val="24"/>
        </w:rPr>
        <w:t>3.我方在采购项目评审（评标）环节结束后，随时接受采购人、采购代理机构的检查验证，配合提供相关证明材料，证明符合《中华人民共和国政府采购法》规定的投标人基本资格条件。</w:t>
      </w:r>
    </w:p>
    <w:p>
      <w:pPr>
        <w:tabs>
          <w:tab w:val="left" w:pos="6300"/>
        </w:tabs>
        <w:snapToGrid w:val="0"/>
        <w:spacing w:line="500" w:lineRule="exact"/>
        <w:ind w:firstLine="480" w:firstLineChars="200"/>
        <w:rPr>
          <w:rFonts w:ascii="宋体" w:hAnsi="宋体"/>
          <w:sz w:val="24"/>
          <w:szCs w:val="24"/>
        </w:rPr>
      </w:pPr>
      <w:r>
        <w:rPr>
          <w:rFonts w:hint="eastAsia" w:ascii="宋体" w:hAnsi="宋体"/>
          <w:sz w:val="24"/>
          <w:szCs w:val="24"/>
        </w:rPr>
        <w:t>我方对以上承诺负全部法律责任。</w:t>
      </w:r>
    </w:p>
    <w:p>
      <w:pPr>
        <w:tabs>
          <w:tab w:val="left" w:pos="6300"/>
        </w:tabs>
        <w:snapToGrid w:val="0"/>
        <w:spacing w:line="500" w:lineRule="exact"/>
        <w:ind w:firstLine="480" w:firstLineChars="200"/>
        <w:rPr>
          <w:rFonts w:ascii="宋体" w:hAnsi="宋体"/>
          <w:sz w:val="24"/>
          <w:szCs w:val="24"/>
        </w:rPr>
      </w:pPr>
      <w:r>
        <w:rPr>
          <w:rFonts w:hint="eastAsia" w:ascii="宋体" w:hAnsi="宋体"/>
          <w:sz w:val="24"/>
          <w:szCs w:val="24"/>
        </w:rPr>
        <w:t>特此承诺。</w:t>
      </w:r>
    </w:p>
    <w:p>
      <w:pPr>
        <w:tabs>
          <w:tab w:val="left" w:pos="6300"/>
        </w:tabs>
        <w:snapToGrid w:val="0"/>
        <w:spacing w:line="500" w:lineRule="exact"/>
        <w:ind w:firstLine="480" w:firstLineChars="200"/>
        <w:rPr>
          <w:rFonts w:ascii="宋体" w:hAnsi="宋体"/>
          <w:sz w:val="24"/>
          <w:szCs w:val="24"/>
        </w:rPr>
      </w:pPr>
    </w:p>
    <w:p>
      <w:pPr>
        <w:tabs>
          <w:tab w:val="left" w:pos="6300"/>
        </w:tabs>
        <w:snapToGrid w:val="0"/>
        <w:spacing w:line="500" w:lineRule="exact"/>
        <w:ind w:firstLine="480" w:firstLineChars="200"/>
        <w:jc w:val="right"/>
        <w:rPr>
          <w:rFonts w:ascii="宋体" w:hAnsi="宋体"/>
          <w:sz w:val="24"/>
          <w:szCs w:val="24"/>
        </w:rPr>
      </w:pPr>
      <w:r>
        <w:rPr>
          <w:rFonts w:hint="eastAsia" w:ascii="宋体" w:hAnsi="宋体"/>
          <w:sz w:val="24"/>
          <w:szCs w:val="24"/>
        </w:rPr>
        <w:t>（供应商公章）</w:t>
      </w:r>
    </w:p>
    <w:p>
      <w:pPr>
        <w:tabs>
          <w:tab w:val="left" w:pos="6300"/>
        </w:tabs>
        <w:snapToGrid w:val="0"/>
        <w:spacing w:line="500" w:lineRule="exact"/>
        <w:ind w:firstLine="480" w:firstLineChars="200"/>
        <w:jc w:val="right"/>
        <w:rPr>
          <w:rFonts w:ascii="宋体" w:hAnsi="宋体"/>
          <w:sz w:val="24"/>
          <w:szCs w:val="24"/>
        </w:rPr>
      </w:pPr>
      <w:r>
        <w:rPr>
          <w:rFonts w:hint="eastAsia" w:ascii="宋体" w:hAnsi="宋体"/>
          <w:sz w:val="24"/>
          <w:szCs w:val="24"/>
        </w:rPr>
        <w:t>年   月   日</w:t>
      </w:r>
    </w:p>
    <w:p>
      <w:pPr>
        <w:tabs>
          <w:tab w:val="left" w:pos="6300"/>
        </w:tabs>
        <w:snapToGrid w:val="0"/>
        <w:spacing w:line="500" w:lineRule="exact"/>
        <w:ind w:firstLine="570"/>
        <w:rPr>
          <w:rFonts w:ascii="宋体" w:hAnsi="宋体"/>
          <w:sz w:val="24"/>
          <w:szCs w:val="24"/>
        </w:rPr>
      </w:pPr>
      <w:r>
        <w:rPr>
          <w:rFonts w:hint="eastAsia" w:ascii="宋体" w:hAnsi="宋体"/>
          <w:sz w:val="24"/>
          <w:szCs w:val="24"/>
        </w:rPr>
        <w:t>（五）特定资格条件（若有）</w:t>
      </w:r>
    </w:p>
    <w:p>
      <w:pPr>
        <w:spacing w:line="440" w:lineRule="exact"/>
        <w:ind w:firstLine="480" w:firstLineChars="200"/>
        <w:rPr>
          <w:rFonts w:ascii="宋体" w:hAnsi="宋体"/>
          <w:sz w:val="24"/>
          <w:szCs w:val="24"/>
        </w:rPr>
      </w:pPr>
    </w:p>
    <w:p>
      <w:pPr>
        <w:spacing w:line="440" w:lineRule="exact"/>
        <w:ind w:firstLine="480" w:firstLineChars="200"/>
        <w:rPr>
          <w:rFonts w:ascii="宋体" w:hAnsi="宋体"/>
          <w:sz w:val="24"/>
          <w:szCs w:val="24"/>
        </w:rPr>
      </w:pPr>
    </w:p>
    <w:p>
      <w:pPr>
        <w:spacing w:line="440" w:lineRule="exact"/>
        <w:ind w:firstLine="480" w:firstLineChars="200"/>
        <w:rPr>
          <w:rFonts w:ascii="宋体" w:hAnsi="宋体"/>
          <w:sz w:val="24"/>
          <w:szCs w:val="24"/>
        </w:rPr>
      </w:pPr>
    </w:p>
    <w:p>
      <w:pPr>
        <w:spacing w:line="440" w:lineRule="exact"/>
        <w:ind w:firstLine="480" w:firstLineChars="200"/>
        <w:rPr>
          <w:rFonts w:ascii="宋体" w:hAnsi="宋体"/>
          <w:sz w:val="24"/>
          <w:szCs w:val="24"/>
        </w:rPr>
      </w:pPr>
    </w:p>
    <w:p>
      <w:pPr>
        <w:spacing w:line="440" w:lineRule="exact"/>
        <w:ind w:firstLine="480" w:firstLineChars="200"/>
        <w:rPr>
          <w:rFonts w:ascii="宋体" w:hAnsi="宋体"/>
          <w:sz w:val="24"/>
          <w:szCs w:val="24"/>
        </w:rPr>
      </w:pPr>
    </w:p>
    <w:p>
      <w:pPr>
        <w:spacing w:line="440" w:lineRule="exact"/>
        <w:ind w:firstLine="480" w:firstLineChars="200"/>
        <w:rPr>
          <w:rFonts w:ascii="宋体" w:hAnsi="宋体"/>
          <w:sz w:val="24"/>
          <w:szCs w:val="24"/>
        </w:rPr>
      </w:pPr>
    </w:p>
    <w:p>
      <w:pPr>
        <w:spacing w:line="440" w:lineRule="exact"/>
        <w:ind w:firstLine="480" w:firstLineChars="200"/>
        <w:rPr>
          <w:rFonts w:ascii="宋体" w:hAnsi="宋体"/>
          <w:sz w:val="24"/>
          <w:szCs w:val="24"/>
        </w:rPr>
      </w:pPr>
    </w:p>
    <w:p>
      <w:pPr>
        <w:spacing w:line="440" w:lineRule="exact"/>
        <w:ind w:firstLine="480" w:firstLineChars="200"/>
        <w:rPr>
          <w:rFonts w:ascii="宋体" w:hAnsi="宋体"/>
          <w:sz w:val="24"/>
          <w:szCs w:val="24"/>
        </w:rPr>
      </w:pPr>
    </w:p>
    <w:p>
      <w:pPr>
        <w:spacing w:line="440" w:lineRule="exact"/>
        <w:ind w:firstLine="480" w:firstLineChars="200"/>
        <w:rPr>
          <w:rFonts w:ascii="宋体" w:hAnsi="宋体"/>
          <w:sz w:val="24"/>
          <w:szCs w:val="24"/>
        </w:rPr>
      </w:pPr>
    </w:p>
    <w:p>
      <w:pPr>
        <w:spacing w:line="440" w:lineRule="exact"/>
        <w:ind w:firstLine="480" w:firstLineChars="200"/>
        <w:rPr>
          <w:rFonts w:ascii="宋体" w:hAnsi="宋体"/>
          <w:sz w:val="24"/>
          <w:szCs w:val="24"/>
        </w:rPr>
      </w:pPr>
    </w:p>
    <w:p>
      <w:pPr>
        <w:spacing w:line="440" w:lineRule="exact"/>
        <w:jc w:val="center"/>
        <w:rPr>
          <w:rFonts w:ascii="宋体" w:hAnsi="宋体"/>
          <w:sz w:val="24"/>
          <w:szCs w:val="24"/>
        </w:rPr>
      </w:pPr>
      <w:r>
        <w:rPr>
          <w:rFonts w:hint="eastAsia" w:ascii="宋体" w:hAnsi="宋体"/>
          <w:sz w:val="24"/>
          <w:szCs w:val="24"/>
        </w:rPr>
        <w:t>（结束）</w:t>
      </w:r>
    </w:p>
    <w:sectPr>
      <w:pgSz w:w="11907" w:h="16840"/>
      <w:pgMar w:top="1134" w:right="1191" w:bottom="1134" w:left="1191"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PMingLiU">
    <w:panose1 w:val="02020500000000000000"/>
    <w:charset w:val="88"/>
    <w:family w:val="roman"/>
    <w:pitch w:val="default"/>
    <w:sig w:usb0="A00002FF" w:usb1="28CFFCFA" w:usb2="00000016" w:usb3="00000000" w:csb0="00100001" w:csb1="00000000"/>
  </w:font>
  <w:font w:name="仿宋_GB2312">
    <w:panose1 w:val="02010609030101010101"/>
    <w:charset w:val="86"/>
    <w:family w:val="auto"/>
    <w:pitch w:val="default"/>
    <w:sig w:usb0="00000001" w:usb1="080E0000" w:usb2="00000000" w:usb3="00000000" w:csb0="00040000" w:csb1="00000000"/>
  </w:font>
  <w:font w:name="_x000B__x000C_">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2"/>
      </w:rPr>
    </w:pPr>
    <w:r>
      <w:fldChar w:fldCharType="begin"/>
    </w:r>
    <w:r>
      <w:rPr>
        <w:rStyle w:val="62"/>
      </w:rPr>
      <w:instrText xml:space="preserve">PAGE  </w:instrText>
    </w:r>
    <w:r>
      <w:fldChar w:fldCharType="end"/>
    </w:r>
  </w:p>
  <w:p>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rPr>
        <w:rFonts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- 10 -</w:t>
    </w:r>
    <w:r>
      <w:rPr>
        <w:rFonts w:ascii="宋体" w:hAnsi="宋体"/>
        <w:sz w:val="21"/>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2"/>
      </w:rPr>
    </w:pPr>
    <w:r>
      <w:fldChar w:fldCharType="begin"/>
    </w:r>
    <w:r>
      <w:rPr>
        <w:rStyle w:val="62"/>
      </w:rPr>
      <w:instrText xml:space="preserve">PAGE  </w:instrText>
    </w:r>
    <w:r>
      <w:fldChar w:fldCharType="end"/>
    </w:r>
  </w:p>
  <w:p>
    <w:pPr>
      <w:pStyle w:val="3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both"/>
      <w:rPr>
        <w:rFonts w:ascii="宋体" w:hAnsi="宋体"/>
        <w:sz w:val="21"/>
        <w:szCs w:val="21"/>
      </w:rPr>
    </w:pPr>
    <w:r>
      <w:rPr>
        <w:rFonts w:hint="eastAsia" w:ascii="宋体" w:hAnsi="宋体"/>
        <w:sz w:val="21"/>
        <w:szCs w:val="21"/>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singleLevel"/>
    <w:tmpl w:val="00000003"/>
    <w:lvl w:ilvl="0" w:tentative="0">
      <w:start w:val="1"/>
      <w:numFmt w:val="bullet"/>
      <w:pStyle w:val="122"/>
      <w:lvlText w:val=""/>
      <w:lvlJc w:val="left"/>
      <w:pPr>
        <w:tabs>
          <w:tab w:val="left" w:pos="360"/>
        </w:tabs>
        <w:ind w:left="360" w:hanging="360"/>
      </w:pPr>
      <w:rPr>
        <w:rFonts w:hint="default" w:ascii="Wingdings" w:hAnsi="Wingdings"/>
      </w:rPr>
    </w:lvl>
  </w:abstractNum>
  <w:abstractNum w:abstractNumId="1">
    <w:nsid w:val="00000008"/>
    <w:multiLevelType w:val="multilevel"/>
    <w:tmpl w:val="00000008"/>
    <w:lvl w:ilvl="0" w:tentative="0">
      <w:start w:val="1"/>
      <w:numFmt w:val="decimal"/>
      <w:pStyle w:val="153"/>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A"/>
    <w:multiLevelType w:val="singleLevel"/>
    <w:tmpl w:val="0000000A"/>
    <w:lvl w:ilvl="0" w:tentative="0">
      <w:start w:val="1"/>
      <w:numFmt w:val="decimal"/>
      <w:pStyle w:val="13"/>
      <w:lvlText w:val="%1."/>
      <w:lvlJc w:val="left"/>
      <w:pPr>
        <w:tabs>
          <w:tab w:val="left" w:pos="425"/>
        </w:tabs>
        <w:ind w:left="425" w:hanging="425"/>
      </w:pPr>
      <w:rPr>
        <w:rFonts w:hint="default"/>
      </w:rPr>
    </w:lvl>
  </w:abstractNum>
  <w:abstractNum w:abstractNumId="3">
    <w:nsid w:val="0000000B"/>
    <w:multiLevelType w:val="singleLevel"/>
    <w:tmpl w:val="0000000B"/>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4">
    <w:nsid w:val="0000000F"/>
    <w:multiLevelType w:val="multilevel"/>
    <w:tmpl w:val="0000000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pStyle w:val="102"/>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trackRevisions w:val="1"/>
  <w:documentProtection w:enforcement="0"/>
  <w:defaultTabStop w:val="420"/>
  <w:drawingGridHorizontalSpacing w:val="126"/>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E0ZWI3ODIxNTBjNzU4ZTFmYWJlN2ZiYTE0ZmJlNDEifQ=="/>
  </w:docVars>
  <w:rsids>
    <w:rsidRoot w:val="008B66DD"/>
    <w:rsid w:val="00004EBC"/>
    <w:rsid w:val="00012AE2"/>
    <w:rsid w:val="00013FFF"/>
    <w:rsid w:val="0002278A"/>
    <w:rsid w:val="000411B2"/>
    <w:rsid w:val="000444B2"/>
    <w:rsid w:val="00044B86"/>
    <w:rsid w:val="00054524"/>
    <w:rsid w:val="00062DC3"/>
    <w:rsid w:val="00074E0C"/>
    <w:rsid w:val="00074E6A"/>
    <w:rsid w:val="00077F64"/>
    <w:rsid w:val="00077F6A"/>
    <w:rsid w:val="00085267"/>
    <w:rsid w:val="000A2E3B"/>
    <w:rsid w:val="000B62F2"/>
    <w:rsid w:val="000C2A56"/>
    <w:rsid w:val="000D42F1"/>
    <w:rsid w:val="000F49C3"/>
    <w:rsid w:val="00101706"/>
    <w:rsid w:val="00102E33"/>
    <w:rsid w:val="001152EF"/>
    <w:rsid w:val="00116B66"/>
    <w:rsid w:val="001316E4"/>
    <w:rsid w:val="00134C55"/>
    <w:rsid w:val="00136A0D"/>
    <w:rsid w:val="001379E1"/>
    <w:rsid w:val="001409A2"/>
    <w:rsid w:val="00153C33"/>
    <w:rsid w:val="00154A44"/>
    <w:rsid w:val="00157622"/>
    <w:rsid w:val="00170E79"/>
    <w:rsid w:val="00180917"/>
    <w:rsid w:val="00180F35"/>
    <w:rsid w:val="00181ABA"/>
    <w:rsid w:val="001933C7"/>
    <w:rsid w:val="001A26E9"/>
    <w:rsid w:val="001B24E2"/>
    <w:rsid w:val="001C4078"/>
    <w:rsid w:val="001C6144"/>
    <w:rsid w:val="001C7331"/>
    <w:rsid w:val="001C7D21"/>
    <w:rsid w:val="001D0C34"/>
    <w:rsid w:val="001D3E53"/>
    <w:rsid w:val="002134E9"/>
    <w:rsid w:val="002146CE"/>
    <w:rsid w:val="00214918"/>
    <w:rsid w:val="00240424"/>
    <w:rsid w:val="00252119"/>
    <w:rsid w:val="00255663"/>
    <w:rsid w:val="002568CE"/>
    <w:rsid w:val="00262B08"/>
    <w:rsid w:val="00263463"/>
    <w:rsid w:val="002668F6"/>
    <w:rsid w:val="0027264C"/>
    <w:rsid w:val="0028233F"/>
    <w:rsid w:val="002837C0"/>
    <w:rsid w:val="0028618E"/>
    <w:rsid w:val="002B36F0"/>
    <w:rsid w:val="002F39E2"/>
    <w:rsid w:val="002F3F69"/>
    <w:rsid w:val="003062C0"/>
    <w:rsid w:val="003155BA"/>
    <w:rsid w:val="00324F9E"/>
    <w:rsid w:val="00341897"/>
    <w:rsid w:val="00364A17"/>
    <w:rsid w:val="00367EF6"/>
    <w:rsid w:val="00371A6B"/>
    <w:rsid w:val="00373D15"/>
    <w:rsid w:val="00377814"/>
    <w:rsid w:val="00395C9C"/>
    <w:rsid w:val="003B40F5"/>
    <w:rsid w:val="003B65AB"/>
    <w:rsid w:val="003E3E1C"/>
    <w:rsid w:val="003E4AF3"/>
    <w:rsid w:val="00401ED3"/>
    <w:rsid w:val="00406064"/>
    <w:rsid w:val="00430EB6"/>
    <w:rsid w:val="00434AB1"/>
    <w:rsid w:val="00444BB6"/>
    <w:rsid w:val="00444D96"/>
    <w:rsid w:val="00447EB0"/>
    <w:rsid w:val="00462D55"/>
    <w:rsid w:val="00464225"/>
    <w:rsid w:val="004721D5"/>
    <w:rsid w:val="00473DC9"/>
    <w:rsid w:val="004910DE"/>
    <w:rsid w:val="004A0F41"/>
    <w:rsid w:val="004B7A94"/>
    <w:rsid w:val="004C03C3"/>
    <w:rsid w:val="004C3E20"/>
    <w:rsid w:val="004D0F4E"/>
    <w:rsid w:val="004D6EC8"/>
    <w:rsid w:val="004F48AB"/>
    <w:rsid w:val="004F7DD6"/>
    <w:rsid w:val="00504C0D"/>
    <w:rsid w:val="00507682"/>
    <w:rsid w:val="00521071"/>
    <w:rsid w:val="0052330A"/>
    <w:rsid w:val="005454D5"/>
    <w:rsid w:val="005652EE"/>
    <w:rsid w:val="00565A61"/>
    <w:rsid w:val="00595F8D"/>
    <w:rsid w:val="00596384"/>
    <w:rsid w:val="005A28BC"/>
    <w:rsid w:val="005B49C0"/>
    <w:rsid w:val="005F2773"/>
    <w:rsid w:val="005F522D"/>
    <w:rsid w:val="005F5F00"/>
    <w:rsid w:val="00625DE7"/>
    <w:rsid w:val="006370ED"/>
    <w:rsid w:val="006504F6"/>
    <w:rsid w:val="00654935"/>
    <w:rsid w:val="006674D2"/>
    <w:rsid w:val="00670039"/>
    <w:rsid w:val="00691EC1"/>
    <w:rsid w:val="006C2AC6"/>
    <w:rsid w:val="006C50B6"/>
    <w:rsid w:val="006C5388"/>
    <w:rsid w:val="006C644E"/>
    <w:rsid w:val="006C7773"/>
    <w:rsid w:val="006E0F78"/>
    <w:rsid w:val="006E3CD1"/>
    <w:rsid w:val="006E3DF2"/>
    <w:rsid w:val="006E50F9"/>
    <w:rsid w:val="007012F6"/>
    <w:rsid w:val="007154B6"/>
    <w:rsid w:val="00721D98"/>
    <w:rsid w:val="007249EB"/>
    <w:rsid w:val="007252FD"/>
    <w:rsid w:val="00730A14"/>
    <w:rsid w:val="0073295E"/>
    <w:rsid w:val="00754F38"/>
    <w:rsid w:val="00761D72"/>
    <w:rsid w:val="007737D7"/>
    <w:rsid w:val="00774080"/>
    <w:rsid w:val="0078297D"/>
    <w:rsid w:val="007861AB"/>
    <w:rsid w:val="007924E4"/>
    <w:rsid w:val="00796B69"/>
    <w:rsid w:val="007B107E"/>
    <w:rsid w:val="007C4343"/>
    <w:rsid w:val="007D2E33"/>
    <w:rsid w:val="007E2800"/>
    <w:rsid w:val="007F1F19"/>
    <w:rsid w:val="007F1FD6"/>
    <w:rsid w:val="00800756"/>
    <w:rsid w:val="008242F3"/>
    <w:rsid w:val="0084141F"/>
    <w:rsid w:val="00866F8D"/>
    <w:rsid w:val="00870E98"/>
    <w:rsid w:val="00872902"/>
    <w:rsid w:val="0089677F"/>
    <w:rsid w:val="008B116C"/>
    <w:rsid w:val="008B3315"/>
    <w:rsid w:val="008B66DD"/>
    <w:rsid w:val="008C5D80"/>
    <w:rsid w:val="008C7362"/>
    <w:rsid w:val="008D754F"/>
    <w:rsid w:val="008F5914"/>
    <w:rsid w:val="008F670C"/>
    <w:rsid w:val="008F7F6A"/>
    <w:rsid w:val="00911610"/>
    <w:rsid w:val="0092188C"/>
    <w:rsid w:val="0092494B"/>
    <w:rsid w:val="009269E8"/>
    <w:rsid w:val="00935551"/>
    <w:rsid w:val="0097793C"/>
    <w:rsid w:val="00980300"/>
    <w:rsid w:val="0099548D"/>
    <w:rsid w:val="009A4423"/>
    <w:rsid w:val="009B311A"/>
    <w:rsid w:val="009C25F4"/>
    <w:rsid w:val="009C5B83"/>
    <w:rsid w:val="009D0E07"/>
    <w:rsid w:val="009E3DEB"/>
    <w:rsid w:val="009E58F3"/>
    <w:rsid w:val="009E5DA6"/>
    <w:rsid w:val="00A1117A"/>
    <w:rsid w:val="00A117F5"/>
    <w:rsid w:val="00A5126D"/>
    <w:rsid w:val="00A55D01"/>
    <w:rsid w:val="00A560C1"/>
    <w:rsid w:val="00A60DCA"/>
    <w:rsid w:val="00A82860"/>
    <w:rsid w:val="00A87302"/>
    <w:rsid w:val="00A9241A"/>
    <w:rsid w:val="00AA1E2C"/>
    <w:rsid w:val="00AE629C"/>
    <w:rsid w:val="00AF5C10"/>
    <w:rsid w:val="00B34EE2"/>
    <w:rsid w:val="00B603B3"/>
    <w:rsid w:val="00B6621A"/>
    <w:rsid w:val="00B77BDA"/>
    <w:rsid w:val="00B77C1D"/>
    <w:rsid w:val="00B85C2D"/>
    <w:rsid w:val="00B85E59"/>
    <w:rsid w:val="00B924F4"/>
    <w:rsid w:val="00B97F72"/>
    <w:rsid w:val="00BA6F10"/>
    <w:rsid w:val="00BA706C"/>
    <w:rsid w:val="00BB1DF3"/>
    <w:rsid w:val="00BE1667"/>
    <w:rsid w:val="00BF0C3C"/>
    <w:rsid w:val="00BF28C4"/>
    <w:rsid w:val="00C12A50"/>
    <w:rsid w:val="00C131C1"/>
    <w:rsid w:val="00C252D8"/>
    <w:rsid w:val="00C33A97"/>
    <w:rsid w:val="00C35DFD"/>
    <w:rsid w:val="00C453A4"/>
    <w:rsid w:val="00C538C2"/>
    <w:rsid w:val="00C678CC"/>
    <w:rsid w:val="00C702A2"/>
    <w:rsid w:val="00C92928"/>
    <w:rsid w:val="00CB2725"/>
    <w:rsid w:val="00CB3571"/>
    <w:rsid w:val="00CB69F4"/>
    <w:rsid w:val="00CC0915"/>
    <w:rsid w:val="00CF08A8"/>
    <w:rsid w:val="00CF64BF"/>
    <w:rsid w:val="00D22D19"/>
    <w:rsid w:val="00D27D0E"/>
    <w:rsid w:val="00D33423"/>
    <w:rsid w:val="00D52F1D"/>
    <w:rsid w:val="00D5668D"/>
    <w:rsid w:val="00D57AC3"/>
    <w:rsid w:val="00D623D8"/>
    <w:rsid w:val="00D635EE"/>
    <w:rsid w:val="00D74CBD"/>
    <w:rsid w:val="00D76CCB"/>
    <w:rsid w:val="00D840CF"/>
    <w:rsid w:val="00DB0392"/>
    <w:rsid w:val="00DC5454"/>
    <w:rsid w:val="00E05BCD"/>
    <w:rsid w:val="00E24B22"/>
    <w:rsid w:val="00E40F29"/>
    <w:rsid w:val="00E80171"/>
    <w:rsid w:val="00E84619"/>
    <w:rsid w:val="00EA2177"/>
    <w:rsid w:val="00EA4951"/>
    <w:rsid w:val="00EA7B53"/>
    <w:rsid w:val="00EB28A0"/>
    <w:rsid w:val="00EB513E"/>
    <w:rsid w:val="00EC285A"/>
    <w:rsid w:val="00EC7F7A"/>
    <w:rsid w:val="00ED3DCE"/>
    <w:rsid w:val="00EE5629"/>
    <w:rsid w:val="00F036DD"/>
    <w:rsid w:val="00F310FB"/>
    <w:rsid w:val="00F61A92"/>
    <w:rsid w:val="00F63493"/>
    <w:rsid w:val="00F63C15"/>
    <w:rsid w:val="00F64851"/>
    <w:rsid w:val="00F96028"/>
    <w:rsid w:val="00FA3979"/>
    <w:rsid w:val="00FC7307"/>
    <w:rsid w:val="00FE3D4E"/>
    <w:rsid w:val="06E52581"/>
    <w:rsid w:val="07024A87"/>
    <w:rsid w:val="0A6B08E8"/>
    <w:rsid w:val="0B3D7B88"/>
    <w:rsid w:val="0D0B111D"/>
    <w:rsid w:val="1E3E6033"/>
    <w:rsid w:val="26C140BE"/>
    <w:rsid w:val="29A47099"/>
    <w:rsid w:val="31EC6546"/>
    <w:rsid w:val="34A52B90"/>
    <w:rsid w:val="3BDB0513"/>
    <w:rsid w:val="3C366156"/>
    <w:rsid w:val="3EA1240C"/>
    <w:rsid w:val="435B01F7"/>
    <w:rsid w:val="43863AFE"/>
    <w:rsid w:val="51FD70C2"/>
    <w:rsid w:val="54FC67B0"/>
    <w:rsid w:val="558D3852"/>
    <w:rsid w:val="62D22884"/>
    <w:rsid w:val="698107FB"/>
    <w:rsid w:val="6A754435"/>
    <w:rsid w:val="6B093C14"/>
    <w:rsid w:val="773E6CF3"/>
    <w:rsid w:val="781E5AAE"/>
    <w:rsid w:val="78D931B1"/>
    <w:rsid w:val="79651210"/>
    <w:rsid w:val="7A71236B"/>
    <w:rsid w:val="7ABF33A6"/>
    <w:rsid w:val="7DB85A82"/>
    <w:rsid w:val="AFFD69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68"/>
    <w:qFormat/>
    <w:uiPriority w:val="0"/>
    <w:pPr>
      <w:keepNext/>
      <w:keepLines/>
      <w:spacing w:line="413" w:lineRule="auto"/>
      <w:outlineLvl w:val="1"/>
    </w:pPr>
    <w:rPr>
      <w:rFonts w:ascii="Arial" w:hAnsi="Arial" w:eastAsia="黑体"/>
      <w:b/>
      <w:sz w:val="32"/>
    </w:rPr>
  </w:style>
  <w:style w:type="paragraph" w:styleId="4">
    <w:name w:val="heading 3"/>
    <w:basedOn w:val="1"/>
    <w:next w:val="1"/>
    <w:link w:val="69"/>
    <w:qFormat/>
    <w:uiPriority w:val="0"/>
    <w:pPr>
      <w:keepNext/>
      <w:keepLines/>
      <w:spacing w:line="413" w:lineRule="auto"/>
      <w:outlineLvl w:val="2"/>
    </w:pPr>
    <w:rPr>
      <w:rFonts w:ascii="Times New Roman" w:hAnsi="Times New Roman"/>
      <w:b/>
      <w:sz w:val="32"/>
    </w:rPr>
  </w:style>
  <w:style w:type="paragraph" w:styleId="5">
    <w:name w:val="heading 4"/>
    <w:basedOn w:val="1"/>
    <w:next w:val="1"/>
    <w:qFormat/>
    <w:uiPriority w:val="0"/>
    <w:pPr>
      <w:keepNext/>
      <w:keepLines/>
      <w:spacing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line="317" w:lineRule="auto"/>
      <w:ind w:left="1584" w:hanging="1584"/>
      <w:outlineLvl w:val="8"/>
    </w:pPr>
    <w:rPr>
      <w:rFonts w:ascii="Arial" w:hAnsi="Arial" w:eastAsia="黑体"/>
      <w:b/>
      <w:sz w:val="24"/>
    </w:rPr>
  </w:style>
  <w:style w:type="character" w:default="1" w:styleId="60">
    <w:name w:val="Default Paragraph Font"/>
    <w:semiHidden/>
    <w:unhideWhenUsed/>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clear" w:pos="425"/>
      </w:tabs>
      <w:spacing w:line="360" w:lineRule="auto"/>
    </w:pPr>
    <w:rPr>
      <w:sz w:val="24"/>
    </w:rPr>
  </w:style>
  <w:style w:type="paragraph" w:styleId="14">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link w:val="70"/>
    <w:qFormat/>
    <w:uiPriority w:val="0"/>
    <w:pPr>
      <w:adjustRightInd w:val="0"/>
      <w:snapToGrid w:val="0"/>
      <w:spacing w:line="360" w:lineRule="auto"/>
      <w:ind w:firstLine="420"/>
    </w:pPr>
    <w:rPr>
      <w:rFonts w:ascii="Times New Roman" w:hAnsi="Times New Roman"/>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rPr>
      <w:rFonts w:ascii="Arial" w:hAnsi="Arial"/>
      <w:sz w:val="24"/>
    </w:rPr>
  </w:style>
  <w:style w:type="paragraph" w:styleId="19">
    <w:name w:val="annotation text"/>
    <w:basedOn w:val="1"/>
    <w:link w:val="71"/>
    <w:qFormat/>
    <w:uiPriority w:val="0"/>
    <w:pPr>
      <w:adjustRightInd w:val="0"/>
      <w:spacing w:line="360" w:lineRule="atLeast"/>
      <w:jc w:val="left"/>
      <w:textAlignment w:val="baseline"/>
    </w:pPr>
    <w:rPr>
      <w:rFonts w:ascii="Times New Roman" w:hAnsi="Times New Roman"/>
      <w:kern w:val="0"/>
      <w:sz w:val="24"/>
    </w:rPr>
  </w:style>
  <w:style w:type="paragraph" w:styleId="20">
    <w:name w:val="Body Text 3"/>
    <w:basedOn w:val="1"/>
    <w:qFormat/>
    <w:uiPriority w:val="0"/>
    <w:pPr>
      <w:adjustRightInd w:val="0"/>
      <w:snapToGrid w:val="0"/>
      <w:spacing w:line="360" w:lineRule="auto"/>
    </w:pPr>
    <w:rPr>
      <w:sz w:val="16"/>
    </w:rPr>
  </w:style>
  <w:style w:type="paragraph" w:styleId="21">
    <w:name w:val="List Bullet 3"/>
    <w:basedOn w:val="1"/>
    <w:qFormat/>
    <w:uiPriority w:val="0"/>
    <w:pPr>
      <w:tabs>
        <w:tab w:val="left" w:pos="1200"/>
      </w:tabs>
      <w:adjustRightInd w:val="0"/>
      <w:snapToGrid w:val="0"/>
      <w:spacing w:line="360" w:lineRule="auto"/>
      <w:ind w:left="1200" w:hanging="360"/>
    </w:pPr>
    <w:rPr>
      <w:sz w:val="24"/>
    </w:rPr>
  </w:style>
  <w:style w:type="paragraph" w:styleId="22">
    <w:name w:val="Body Text"/>
    <w:basedOn w:val="1"/>
    <w:next w:val="23"/>
    <w:link w:val="72"/>
    <w:qFormat/>
    <w:uiPriority w:val="0"/>
    <w:rPr>
      <w:rFonts w:ascii="仿宋_GB2312" w:hAnsi="Times New Roman" w:eastAsia="仿宋_GB2312"/>
      <w:sz w:val="32"/>
    </w:rPr>
  </w:style>
  <w:style w:type="paragraph" w:styleId="23">
    <w:name w:val="index 7"/>
    <w:basedOn w:val="1"/>
    <w:next w:val="1"/>
    <w:qFormat/>
    <w:uiPriority w:val="0"/>
    <w:pPr>
      <w:ind w:left="2520"/>
    </w:pPr>
  </w:style>
  <w:style w:type="paragraph" w:styleId="24">
    <w:name w:val="Body Text Indent"/>
    <w:basedOn w:val="1"/>
    <w:link w:val="73"/>
    <w:qFormat/>
    <w:uiPriority w:val="0"/>
    <w:pPr>
      <w:spacing w:line="700" w:lineRule="exact"/>
      <w:ind w:left="960"/>
    </w:pPr>
    <w:rPr>
      <w:rFonts w:ascii="Times New Roman" w:hAnsi="Times New Roman"/>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line="360" w:lineRule="auto"/>
      <w:ind w:left="420" w:leftChars="200"/>
    </w:pPr>
    <w:rPr>
      <w:sz w:val="24"/>
    </w:rPr>
  </w:style>
  <w:style w:type="paragraph" w:styleId="28">
    <w:name w:val="List Bullet 2"/>
    <w:basedOn w:val="1"/>
    <w:qFormat/>
    <w:uiPriority w:val="0"/>
    <w:pPr>
      <w:numPr>
        <w:ilvl w:val="0"/>
        <w:numId w:val="2"/>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74"/>
    <w:qFormat/>
    <w:uiPriority w:val="0"/>
    <w:rPr>
      <w:rFonts w:ascii="Times New Roman" w:hAnsi="Times New Roman"/>
    </w:rPr>
  </w:style>
  <w:style w:type="paragraph" w:styleId="34">
    <w:name w:val="Body Text Indent 2"/>
    <w:basedOn w:val="1"/>
    <w:link w:val="75"/>
    <w:qFormat/>
    <w:uiPriority w:val="0"/>
    <w:pPr>
      <w:snapToGrid w:val="0"/>
      <w:spacing w:line="560" w:lineRule="atLeast"/>
      <w:ind w:firstLine="540"/>
    </w:pPr>
    <w:rPr>
      <w:rFonts w:ascii="Times New Roman" w:hAnsi="Times New Roman"/>
    </w:rPr>
  </w:style>
  <w:style w:type="paragraph" w:styleId="35">
    <w:name w:val="Balloon Text"/>
    <w:basedOn w:val="1"/>
    <w:qFormat/>
    <w:uiPriority w:val="0"/>
    <w:rPr>
      <w:sz w:val="18"/>
    </w:rPr>
  </w:style>
  <w:style w:type="paragraph" w:styleId="36">
    <w:name w:val="footer"/>
    <w:basedOn w:val="1"/>
    <w:qFormat/>
    <w:uiPriority w:val="0"/>
    <w:pPr>
      <w:tabs>
        <w:tab w:val="center" w:pos="4153"/>
        <w:tab w:val="right" w:pos="8306"/>
      </w:tabs>
      <w:snapToGrid w:val="0"/>
      <w:jc w:val="left"/>
    </w:pPr>
    <w:rPr>
      <w:sz w:val="18"/>
    </w:rPr>
  </w:style>
  <w:style w:type="paragraph" w:styleId="37">
    <w:name w:val="header"/>
    <w:basedOn w:val="1"/>
    <w:qFormat/>
    <w:uiPriority w:val="0"/>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0"/>
    <w:pPr>
      <w:spacing w:line="180" w:lineRule="auto"/>
      <w:jc w:val="center"/>
    </w:pPr>
    <w:rPr>
      <w:sz w:val="30"/>
    </w:rPr>
  </w:style>
  <w:style w:type="paragraph" w:styleId="39">
    <w:name w:val="List Continue 4"/>
    <w:basedOn w:val="1"/>
    <w:qFormat/>
    <w:uiPriority w:val="0"/>
    <w:pPr>
      <w:adjustRightInd w:val="0"/>
      <w:snapToGrid w:val="0"/>
      <w:spacing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76"/>
    <w:qFormat/>
    <w:uiPriority w:val="0"/>
    <w:pPr>
      <w:spacing w:line="360" w:lineRule="auto"/>
    </w:pPr>
    <w:rPr>
      <w:rFonts w:ascii="Times New Roman" w:hAnsi="Times New Roman"/>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ind w:left="420" w:leftChars="200"/>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line="360" w:lineRule="auto"/>
      <w:ind w:left="840" w:leftChars="400"/>
    </w:pPr>
    <w:rPr>
      <w:sz w:val="24"/>
    </w:rPr>
  </w:style>
  <w:style w:type="paragraph" w:styleId="51">
    <w:name w:val="Normal (Web)"/>
    <w:basedOn w:val="1"/>
    <w:qFormat/>
    <w:uiPriority w:val="0"/>
    <w:pPr>
      <w:widowControl/>
      <w:spacing w:beforeAutospacing="1" w:afterAutospacing="1"/>
      <w:jc w:val="left"/>
    </w:pPr>
    <w:rPr>
      <w:rFonts w:ascii="宋体" w:hAnsi="宋体"/>
      <w:kern w:val="0"/>
      <w:sz w:val="24"/>
    </w:rPr>
  </w:style>
  <w:style w:type="paragraph" w:styleId="52">
    <w:name w:val="List Continue 3"/>
    <w:basedOn w:val="1"/>
    <w:qFormat/>
    <w:uiPriority w:val="0"/>
    <w:pPr>
      <w:adjustRightInd w:val="0"/>
      <w:snapToGrid w:val="0"/>
      <w:spacing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qFormat/>
    <w:uiPriority w:val="0"/>
    <w:pPr>
      <w:widowControl/>
      <w:spacing w:line="360" w:lineRule="auto"/>
      <w:jc w:val="center"/>
    </w:pPr>
    <w:rPr>
      <w:rFonts w:ascii="Arial" w:hAnsi="Arial"/>
      <w:b/>
      <w:smallCaps/>
      <w:kern w:val="28"/>
      <w:sz w:val="36"/>
      <w:lang w:eastAsia="en-US"/>
    </w:rPr>
  </w:style>
  <w:style w:type="paragraph" w:styleId="55">
    <w:name w:val="annotation subject"/>
    <w:basedOn w:val="19"/>
    <w:next w:val="19"/>
    <w:link w:val="77"/>
    <w:qFormat/>
    <w:uiPriority w:val="0"/>
    <w:pPr>
      <w:adjustRightInd/>
      <w:spacing w:line="240" w:lineRule="auto"/>
      <w:textAlignment w:val="auto"/>
    </w:pPr>
  </w:style>
  <w:style w:type="paragraph" w:styleId="56">
    <w:name w:val="Body Text First Indent"/>
    <w:basedOn w:val="1"/>
    <w:qFormat/>
    <w:uiPriority w:val="0"/>
    <w:pPr>
      <w:spacing w:line="360" w:lineRule="auto"/>
      <w:ind w:firstLine="420"/>
    </w:pPr>
    <w:rPr>
      <w:rFonts w:ascii="宋体" w:hAnsi="宋体"/>
      <w:sz w:val="24"/>
    </w:rPr>
  </w:style>
  <w:style w:type="paragraph" w:styleId="57">
    <w:name w:val="Body Text First Indent 2"/>
    <w:basedOn w:val="24"/>
    <w:link w:val="78"/>
    <w:qFormat/>
    <w:uiPriority w:val="0"/>
    <w:pPr>
      <w:spacing w:line="240" w:lineRule="auto"/>
      <w:ind w:left="420" w:leftChars="200" w:firstLine="420" w:firstLineChars="200"/>
    </w:pPr>
  </w:style>
  <w:style w:type="table" w:styleId="59">
    <w:name w:val="Table Grid"/>
    <w:basedOn w:val="58"/>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61">
    <w:name w:val="Strong"/>
    <w:qFormat/>
    <w:uiPriority w:val="22"/>
    <w:rPr>
      <w:b/>
    </w:rPr>
  </w:style>
  <w:style w:type="character" w:styleId="62">
    <w:name w:val="page number"/>
    <w:qFormat/>
    <w:uiPriority w:val="0"/>
  </w:style>
  <w:style w:type="character" w:styleId="63">
    <w:name w:val="FollowedHyperlink"/>
    <w:qFormat/>
    <w:uiPriority w:val="0"/>
    <w:rPr>
      <w:color w:val="800080"/>
      <w:u w:val="single"/>
    </w:rPr>
  </w:style>
  <w:style w:type="character" w:styleId="64">
    <w:name w:val="Emphasis"/>
    <w:qFormat/>
    <w:uiPriority w:val="0"/>
    <w:rPr>
      <w:i/>
    </w:rPr>
  </w:style>
  <w:style w:type="character" w:styleId="65">
    <w:name w:val="Hyperlink"/>
    <w:qFormat/>
    <w:uiPriority w:val="99"/>
    <w:rPr>
      <w:color w:val="0000FF"/>
      <w:u w:val="singl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character" w:customStyle="1" w:styleId="68">
    <w:name w:val="标题 2 Char1"/>
    <w:link w:val="3"/>
    <w:qFormat/>
    <w:uiPriority w:val="0"/>
    <w:rPr>
      <w:rFonts w:ascii="Arial" w:hAnsi="Arial" w:eastAsia="黑体"/>
      <w:b/>
      <w:kern w:val="2"/>
      <w:sz w:val="32"/>
    </w:rPr>
  </w:style>
  <w:style w:type="character" w:customStyle="1" w:styleId="69">
    <w:name w:val="标题 3 Char2"/>
    <w:link w:val="4"/>
    <w:qFormat/>
    <w:uiPriority w:val="0"/>
    <w:rPr>
      <w:rFonts w:eastAsia="宋体"/>
      <w:b/>
      <w:kern w:val="2"/>
      <w:sz w:val="32"/>
      <w:lang w:val="en-US" w:eastAsia="zh-CN"/>
    </w:rPr>
  </w:style>
  <w:style w:type="character" w:customStyle="1" w:styleId="70">
    <w:name w:val="正文缩进 Char"/>
    <w:link w:val="15"/>
    <w:qFormat/>
    <w:uiPriority w:val="0"/>
    <w:rPr>
      <w:kern w:val="2"/>
      <w:sz w:val="24"/>
    </w:rPr>
  </w:style>
  <w:style w:type="character" w:customStyle="1" w:styleId="71">
    <w:name w:val="批注文字 Char"/>
    <w:link w:val="19"/>
    <w:qFormat/>
    <w:uiPriority w:val="0"/>
    <w:rPr>
      <w:sz w:val="24"/>
    </w:rPr>
  </w:style>
  <w:style w:type="character" w:customStyle="1" w:styleId="72">
    <w:name w:val="正文文本 Char"/>
    <w:link w:val="22"/>
    <w:qFormat/>
    <w:uiPriority w:val="0"/>
    <w:rPr>
      <w:rFonts w:ascii="仿宋_GB2312" w:eastAsia="仿宋_GB2312"/>
      <w:kern w:val="2"/>
      <w:sz w:val="32"/>
    </w:rPr>
  </w:style>
  <w:style w:type="character" w:customStyle="1" w:styleId="73">
    <w:name w:val="正文文本缩进 Char1"/>
    <w:link w:val="24"/>
    <w:qFormat/>
    <w:uiPriority w:val="0"/>
    <w:rPr>
      <w:kern w:val="2"/>
      <w:sz w:val="44"/>
    </w:rPr>
  </w:style>
  <w:style w:type="character" w:customStyle="1" w:styleId="74">
    <w:name w:val="日期 Char1"/>
    <w:link w:val="33"/>
    <w:qFormat/>
    <w:uiPriority w:val="0"/>
    <w:rPr>
      <w:kern w:val="2"/>
      <w:sz w:val="28"/>
    </w:rPr>
  </w:style>
  <w:style w:type="character" w:customStyle="1" w:styleId="75">
    <w:name w:val="正文文本缩进 2 Char"/>
    <w:link w:val="34"/>
    <w:qFormat/>
    <w:uiPriority w:val="0"/>
    <w:rPr>
      <w:kern w:val="2"/>
      <w:sz w:val="28"/>
    </w:rPr>
  </w:style>
  <w:style w:type="character" w:customStyle="1" w:styleId="76">
    <w:name w:val="脚注文本 Char"/>
    <w:link w:val="41"/>
    <w:qFormat/>
    <w:uiPriority w:val="0"/>
    <w:rPr>
      <w:kern w:val="2"/>
      <w:sz w:val="18"/>
    </w:rPr>
  </w:style>
  <w:style w:type="character" w:customStyle="1" w:styleId="77">
    <w:name w:val="批注主题 Char"/>
    <w:link w:val="55"/>
    <w:qFormat/>
    <w:uiPriority w:val="0"/>
  </w:style>
  <w:style w:type="character" w:customStyle="1" w:styleId="78">
    <w:name w:val="正文首行缩进 2 Char"/>
    <w:link w:val="57"/>
    <w:qFormat/>
    <w:uiPriority w:val="0"/>
  </w:style>
  <w:style w:type="character" w:customStyle="1" w:styleId="79">
    <w:name w:val="Char Char4"/>
    <w:qFormat/>
    <w:uiPriority w:val="0"/>
    <w:rPr>
      <w:rFonts w:eastAsia="宋体"/>
      <w:b/>
      <w:kern w:val="2"/>
      <w:sz w:val="21"/>
      <w:lang w:val="en-US" w:eastAsia="zh-CN"/>
    </w:rPr>
  </w:style>
  <w:style w:type="character" w:customStyle="1" w:styleId="80">
    <w:name w:val="content-white1"/>
    <w:qFormat/>
    <w:uiPriority w:val="0"/>
    <w:rPr>
      <w:rFonts w:ascii="_x000B__x000C_" w:hAnsi="_x000B__x000C_"/>
      <w:color w:val="auto"/>
      <w:sz w:val="18"/>
      <w:u w:val="none"/>
    </w:rPr>
  </w:style>
  <w:style w:type="character" w:customStyle="1" w:styleId="81">
    <w:name w:val="v151"/>
    <w:qFormat/>
    <w:uiPriority w:val="0"/>
    <w:rPr>
      <w:sz w:val="18"/>
    </w:rPr>
  </w:style>
  <w:style w:type="character" w:customStyle="1" w:styleId="82">
    <w:name w:val="小 Char"/>
    <w:qFormat/>
    <w:uiPriority w:val="0"/>
    <w:rPr>
      <w:rFonts w:ascii="宋体" w:hAnsi="Courier New" w:eastAsia="宋体"/>
      <w:kern w:val="2"/>
      <w:sz w:val="21"/>
      <w:lang w:val="en-US" w:eastAsia="zh-CN" w:bidi="ar-SA"/>
    </w:rPr>
  </w:style>
  <w:style w:type="character" w:customStyle="1" w:styleId="83">
    <w:name w:val="Char Char7"/>
    <w:qFormat/>
    <w:uiPriority w:val="0"/>
    <w:rPr>
      <w:rFonts w:ascii="宋体" w:hAnsi="宋体" w:eastAsia="宋体"/>
      <w:kern w:val="2"/>
      <w:sz w:val="28"/>
    </w:rPr>
  </w:style>
  <w:style w:type="character" w:customStyle="1" w:styleId="84">
    <w:name w:val="样式 文档正文 Char + (西文) 宋体 (中文) 宋体 小四 黑色 Char"/>
    <w:link w:val="85"/>
    <w:qFormat/>
    <w:uiPriority w:val="0"/>
    <w:rPr>
      <w:rFonts w:ascii="宋体" w:hAnsi="宋体"/>
      <w:color w:val="000000"/>
      <w:kern w:val="2"/>
      <w:sz w:val="24"/>
      <w:szCs w:val="24"/>
    </w:rPr>
  </w:style>
  <w:style w:type="paragraph" w:customStyle="1" w:styleId="85">
    <w:name w:val="样式 文档正文 Char + (西文) 宋体 (中文) 宋体 小四 黑色"/>
    <w:basedOn w:val="1"/>
    <w:link w:val="84"/>
    <w:qFormat/>
    <w:uiPriority w:val="0"/>
    <w:pPr>
      <w:adjustRightInd w:val="0"/>
      <w:snapToGrid w:val="0"/>
      <w:spacing w:line="360" w:lineRule="auto"/>
      <w:ind w:firstLine="567"/>
      <w:textAlignment w:val="baseline"/>
    </w:pPr>
    <w:rPr>
      <w:rFonts w:ascii="宋体" w:hAnsi="宋体"/>
      <w:color w:val="000000"/>
      <w:sz w:val="24"/>
      <w:szCs w:val="24"/>
    </w:rPr>
  </w:style>
  <w:style w:type="character" w:customStyle="1" w:styleId="86">
    <w:name w:val="Table Text Char"/>
    <w:link w:val="87"/>
    <w:qFormat/>
    <w:uiPriority w:val="0"/>
    <w:rPr>
      <w:rFonts w:ascii="Arial" w:hAnsi="Arial"/>
      <w:kern w:val="2"/>
      <w:sz w:val="18"/>
      <w:lang w:val="en-US" w:eastAsia="zh-CN" w:bidi="ar-SA"/>
    </w:rPr>
  </w:style>
  <w:style w:type="paragraph" w:customStyle="1" w:styleId="87">
    <w:name w:val="Table Text"/>
    <w:link w:val="86"/>
    <w:qFormat/>
    <w:uiPriority w:val="0"/>
    <w:pPr>
      <w:snapToGrid w:val="0"/>
      <w:spacing w:before="80" w:after="80"/>
    </w:pPr>
    <w:rPr>
      <w:rFonts w:ascii="Arial" w:hAnsi="Arial" w:eastAsia="宋体" w:cs="Times New Roman"/>
      <w:kern w:val="2"/>
      <w:sz w:val="18"/>
      <w:lang w:val="en-US" w:eastAsia="zh-CN" w:bidi="ar-SA"/>
    </w:rPr>
  </w:style>
  <w:style w:type="character" w:customStyle="1" w:styleId="88">
    <w:name w:val="Char Char"/>
    <w:qFormat/>
    <w:uiPriority w:val="0"/>
    <w:rPr>
      <w:rFonts w:ascii="宋体" w:hAnsi="宋体" w:eastAsia="宋体"/>
      <w:kern w:val="2"/>
      <w:sz w:val="24"/>
      <w:lang w:val="en-US" w:eastAsia="zh-CN" w:bidi="ar-SA"/>
    </w:rPr>
  </w:style>
  <w:style w:type="character" w:customStyle="1" w:styleId="89">
    <w:name w:val="Table Heading Char Char"/>
    <w:qFormat/>
    <w:uiPriority w:val="0"/>
    <w:rPr>
      <w:rFonts w:ascii="Arial" w:hAnsi="Arial" w:eastAsia="黑体"/>
      <w:kern w:val="2"/>
      <w:sz w:val="18"/>
      <w:lang w:val="en-US" w:eastAsia="zh-CN"/>
    </w:rPr>
  </w:style>
  <w:style w:type="character" w:customStyle="1" w:styleId="90">
    <w:name w:val="标题 3 Char1"/>
    <w:qFormat/>
    <w:uiPriority w:val="0"/>
    <w:rPr>
      <w:rFonts w:eastAsia="宋体"/>
      <w:b/>
      <w:kern w:val="2"/>
      <w:sz w:val="32"/>
      <w:lang w:val="en-US" w:eastAsia="zh-CN"/>
    </w:rPr>
  </w:style>
  <w:style w:type="character" w:customStyle="1" w:styleId="91">
    <w:name w:val="标题 3 字符1"/>
    <w:qFormat/>
    <w:uiPriority w:val="0"/>
    <w:rPr>
      <w:rFonts w:eastAsia="宋体"/>
      <w:b/>
      <w:kern w:val="2"/>
      <w:sz w:val="32"/>
      <w:lang w:val="en-US" w:eastAsia="zh-CN"/>
    </w:rPr>
  </w:style>
  <w:style w:type="character" w:customStyle="1" w:styleId="92">
    <w:name w:val="文字 Char"/>
    <w:link w:val="93"/>
    <w:qFormat/>
    <w:uiPriority w:val="0"/>
    <w:rPr>
      <w:rFonts w:ascii="宋体"/>
      <w:kern w:val="2"/>
      <w:sz w:val="28"/>
    </w:rPr>
  </w:style>
  <w:style w:type="paragraph" w:customStyle="1" w:styleId="93">
    <w:name w:val="文字"/>
    <w:basedOn w:val="1"/>
    <w:link w:val="92"/>
    <w:qFormat/>
    <w:uiPriority w:val="0"/>
    <w:pPr>
      <w:tabs>
        <w:tab w:val="left" w:pos="8520"/>
      </w:tabs>
      <w:spacing w:line="312" w:lineRule="auto"/>
      <w:ind w:right="-210" w:firstLine="556"/>
    </w:pPr>
    <w:rPr>
      <w:rFonts w:ascii="宋体" w:hAnsi="Times New Roman"/>
    </w:rPr>
  </w:style>
  <w:style w:type="character" w:customStyle="1" w:styleId="94">
    <w:name w:val="Char Char3"/>
    <w:qFormat/>
    <w:uiPriority w:val="0"/>
    <w:rPr>
      <w:rFonts w:eastAsia="宋体"/>
      <w:kern w:val="2"/>
      <w:sz w:val="18"/>
      <w:lang w:val="en-US" w:eastAsia="zh-CN"/>
    </w:rPr>
  </w:style>
  <w:style w:type="character" w:customStyle="1" w:styleId="95">
    <w:name w:val="font1"/>
    <w:qFormat/>
    <w:uiPriority w:val="0"/>
    <w:rPr>
      <w:color w:val="000000"/>
      <w:sz w:val="18"/>
    </w:rPr>
  </w:style>
  <w:style w:type="character" w:customStyle="1" w:styleId="96">
    <w:name w:val="Char Char6"/>
    <w:qFormat/>
    <w:uiPriority w:val="0"/>
    <w:rPr>
      <w:rFonts w:ascii="仿宋_GB2312" w:eastAsia="仿宋_GB2312"/>
      <w:kern w:val="2"/>
      <w:sz w:val="32"/>
    </w:rPr>
  </w:style>
  <w:style w:type="character" w:customStyle="1" w:styleId="97">
    <w:name w:val="标书正文:  0.74 厘米 Char1"/>
    <w:qFormat/>
    <w:uiPriority w:val="0"/>
    <w:rPr>
      <w:rFonts w:eastAsia="宋体"/>
      <w:kern w:val="2"/>
      <w:sz w:val="24"/>
      <w:lang w:val="en-US" w:eastAsia="zh-CN"/>
    </w:rPr>
  </w:style>
  <w:style w:type="character" w:customStyle="1" w:styleId="98">
    <w:name w:val="日期 Char"/>
    <w:qFormat/>
    <w:uiPriority w:val="0"/>
    <w:rPr>
      <w:kern w:val="2"/>
      <w:sz w:val="28"/>
    </w:rPr>
  </w:style>
  <w:style w:type="character" w:customStyle="1" w:styleId="99">
    <w:name w:val="无"/>
    <w:qFormat/>
    <w:uiPriority w:val="0"/>
    <w:rPr>
      <w:rFonts w:ascii="Times New Roman" w:hAnsi="Times New Roman" w:eastAsia="宋体" w:cs="Times New Roman"/>
    </w:rPr>
  </w:style>
  <w:style w:type="character" w:customStyle="1" w:styleId="100">
    <w:name w:val="title_emph1"/>
    <w:qFormat/>
    <w:uiPriority w:val="0"/>
    <w:rPr>
      <w:rFonts w:hint="default" w:ascii="Arial" w:hAnsi="Arial"/>
      <w:b/>
      <w:sz w:val="20"/>
    </w:rPr>
  </w:style>
  <w:style w:type="character" w:customStyle="1" w:styleId="101">
    <w:name w:val="(符号)五标题1.1.1 Char"/>
    <w:link w:val="102"/>
    <w:qFormat/>
    <w:uiPriority w:val="0"/>
    <w:rPr>
      <w:rFonts w:ascii="宋体" w:hAnsi="宋体"/>
      <w:color w:val="000000"/>
      <w:kern w:val="2"/>
      <w:sz w:val="24"/>
    </w:rPr>
  </w:style>
  <w:style w:type="paragraph" w:customStyle="1" w:styleId="102">
    <w:name w:val="(符号)五标题1.1.1"/>
    <w:basedOn w:val="1"/>
    <w:link w:val="101"/>
    <w:qFormat/>
    <w:uiPriority w:val="0"/>
    <w:pPr>
      <w:numPr>
        <w:ilvl w:val="2"/>
        <w:numId w:val="3"/>
      </w:numPr>
      <w:tabs>
        <w:tab w:val="left" w:pos="1000"/>
      </w:tabs>
      <w:spacing w:line="500" w:lineRule="exact"/>
    </w:pPr>
    <w:rPr>
      <w:rFonts w:ascii="宋体" w:hAnsi="宋体"/>
      <w:color w:val="000000"/>
      <w:sz w:val="24"/>
    </w:rPr>
  </w:style>
  <w:style w:type="character" w:customStyle="1" w:styleId="103">
    <w:name w:val="标题 2 Char"/>
    <w:qFormat/>
    <w:uiPriority w:val="0"/>
    <w:rPr>
      <w:rFonts w:ascii="Arial" w:hAnsi="Arial" w:eastAsia="黑体"/>
      <w:b/>
      <w:kern w:val="2"/>
      <w:sz w:val="32"/>
    </w:rPr>
  </w:style>
  <w:style w:type="character" w:customStyle="1" w:styleId="104">
    <w:name w:val="Table Text Char Char Char Char"/>
    <w:link w:val="105"/>
    <w:qFormat/>
    <w:uiPriority w:val="0"/>
    <w:rPr>
      <w:rFonts w:ascii="Arial" w:hAnsi="Arial"/>
      <w:kern w:val="2"/>
      <w:sz w:val="18"/>
      <w:lang w:val="en-US" w:eastAsia="zh-CN" w:bidi="ar-SA"/>
    </w:rPr>
  </w:style>
  <w:style w:type="paragraph" w:customStyle="1" w:styleId="105">
    <w:name w:val="Table Text Char Char Char"/>
    <w:link w:val="104"/>
    <w:qFormat/>
    <w:uiPriority w:val="0"/>
    <w:pPr>
      <w:snapToGrid w:val="0"/>
      <w:spacing w:before="80" w:after="80"/>
    </w:pPr>
    <w:rPr>
      <w:rFonts w:ascii="Arial" w:hAnsi="Arial" w:eastAsia="宋体" w:cs="Times New Roman"/>
      <w:kern w:val="2"/>
      <w:sz w:val="18"/>
      <w:lang w:val="en-US" w:eastAsia="zh-CN" w:bidi="ar-SA"/>
    </w:rPr>
  </w:style>
  <w:style w:type="character" w:customStyle="1" w:styleId="106">
    <w:name w:val="标题 3 Char"/>
    <w:qFormat/>
    <w:uiPriority w:val="0"/>
    <w:rPr>
      <w:rFonts w:eastAsia="宋体"/>
      <w:b/>
      <w:kern w:val="2"/>
      <w:sz w:val="32"/>
      <w:lang w:val="en-US" w:eastAsia="zh-CN"/>
    </w:rPr>
  </w:style>
  <w:style w:type="character" w:customStyle="1" w:styleId="107">
    <w:name w:val="Char Char2"/>
    <w:qFormat/>
    <w:uiPriority w:val="0"/>
    <w:rPr>
      <w:rFonts w:eastAsia="宋体"/>
      <w:kern w:val="2"/>
      <w:sz w:val="18"/>
      <w:lang w:val="en-US" w:eastAsia="zh-CN"/>
    </w:rPr>
  </w:style>
  <w:style w:type="character" w:customStyle="1" w:styleId="108">
    <w:name w:val="正文文本缩进 字符1"/>
    <w:qFormat/>
    <w:uiPriority w:val="0"/>
    <w:rPr>
      <w:kern w:val="2"/>
      <w:sz w:val="44"/>
    </w:rPr>
  </w:style>
  <w:style w:type="character" w:customStyle="1" w:styleId="109">
    <w:name w:val="正文文本缩进 Char"/>
    <w:qFormat/>
    <w:uiPriority w:val="0"/>
    <w:rPr>
      <w:kern w:val="2"/>
      <w:sz w:val="44"/>
    </w:rPr>
  </w:style>
  <w:style w:type="character" w:customStyle="1" w:styleId="110">
    <w:name w:val="crowed11"/>
    <w:qFormat/>
    <w:uiPriority w:val="0"/>
    <w:rPr>
      <w:rFonts w:hint="default" w:ascii="_x000B__x000C_" w:hAnsi="_x000B__x000C_"/>
      <w:sz w:val="24"/>
    </w:rPr>
  </w:style>
  <w:style w:type="character" w:customStyle="1" w:styleId="111">
    <w:name w:val="未处理的提及1"/>
    <w:qFormat/>
    <w:uiPriority w:val="99"/>
    <w:rPr>
      <w:color w:val="605E5C"/>
      <w:shd w:val="clear" w:color="auto" w:fill="E1DFDD"/>
    </w:rPr>
  </w:style>
  <w:style w:type="character" w:customStyle="1" w:styleId="112">
    <w:name w:val="样式 宋体"/>
    <w:qFormat/>
    <w:uiPriority w:val="0"/>
    <w:rPr>
      <w:rFonts w:ascii="宋体" w:hAnsi="宋体" w:eastAsia="宋体"/>
      <w:sz w:val="28"/>
    </w:rPr>
  </w:style>
  <w:style w:type="character" w:customStyle="1" w:styleId="113">
    <w:name w:val="正文 + 三号 Char"/>
    <w:qFormat/>
    <w:uiPriority w:val="0"/>
    <w:rPr>
      <w:rFonts w:eastAsia="宋体"/>
      <w:kern w:val="2"/>
      <w:sz w:val="21"/>
      <w:lang w:val="en-US" w:eastAsia="zh-CN"/>
    </w:rPr>
  </w:style>
  <w:style w:type="character" w:customStyle="1" w:styleId="114">
    <w:name w:val="H2 Char"/>
    <w:qFormat/>
    <w:uiPriority w:val="0"/>
    <w:rPr>
      <w:rFonts w:ascii="Arial" w:hAnsi="Arial" w:eastAsia="宋体"/>
      <w:kern w:val="2"/>
      <w:sz w:val="28"/>
      <w:lang w:val="en-US" w:eastAsia="zh-CN"/>
    </w:rPr>
  </w:style>
  <w:style w:type="character" w:customStyle="1" w:styleId="115">
    <w:name w:val="未命名11"/>
    <w:qFormat/>
    <w:uiPriority w:val="0"/>
    <w:rPr>
      <w:color w:val="77FFFF"/>
      <w:sz w:val="24"/>
    </w:rPr>
  </w:style>
  <w:style w:type="character" w:customStyle="1" w:styleId="116">
    <w:name w:val="Char Char5"/>
    <w:qFormat/>
    <w:uiPriority w:val="0"/>
    <w:rPr>
      <w:rFonts w:ascii="Arial" w:hAnsi="Arial" w:eastAsia="宋体"/>
      <w:b/>
      <w:smallCaps/>
      <w:kern w:val="28"/>
      <w:sz w:val="36"/>
      <w:lang w:val="en-US" w:eastAsia="en-US"/>
    </w:rPr>
  </w:style>
  <w:style w:type="character" w:customStyle="1" w:styleId="117">
    <w:name w:val="列出段落 Char"/>
    <w:link w:val="118"/>
    <w:qFormat/>
    <w:uiPriority w:val="0"/>
    <w:rPr>
      <w:rFonts w:ascii="Calibri" w:hAnsi="Calibri"/>
      <w:kern w:val="2"/>
      <w:sz w:val="21"/>
      <w:szCs w:val="22"/>
    </w:rPr>
  </w:style>
  <w:style w:type="paragraph" w:styleId="118">
    <w:name w:val="List Paragraph"/>
    <w:basedOn w:val="1"/>
    <w:link w:val="117"/>
    <w:qFormat/>
    <w:uiPriority w:val="0"/>
    <w:pPr>
      <w:ind w:firstLine="420" w:firstLineChars="200"/>
    </w:pPr>
    <w:rPr>
      <w:sz w:val="21"/>
      <w:szCs w:val="22"/>
    </w:rPr>
  </w:style>
  <w:style w:type="character" w:customStyle="1" w:styleId="119">
    <w:name w:val="Table Text Char1 Char"/>
    <w:qFormat/>
    <w:uiPriority w:val="0"/>
    <w:rPr>
      <w:rFonts w:ascii="Arial" w:hAnsi="Arial"/>
      <w:kern w:val="2"/>
      <w:sz w:val="18"/>
      <w:lang w:val="en-US" w:eastAsia="zh-CN" w:bidi="ar-SA"/>
    </w:rPr>
  </w:style>
  <w:style w:type="character" w:customStyle="1" w:styleId="120">
    <w:name w:val="Char Char11"/>
    <w:qFormat/>
    <w:uiPriority w:val="0"/>
    <w:rPr>
      <w:rFonts w:ascii="宋体"/>
      <w:kern w:val="2"/>
      <w:sz w:val="28"/>
    </w:rPr>
  </w:style>
  <w:style w:type="character" w:customStyle="1" w:styleId="121">
    <w:name w:val="top-det1"/>
    <w:qFormat/>
    <w:uiPriority w:val="0"/>
    <w:rPr>
      <w:b/>
      <w:color w:val="000000"/>
    </w:rPr>
  </w:style>
  <w:style w:type="paragraph" w:customStyle="1" w:styleId="122">
    <w:name w:val="表号"/>
    <w:basedOn w:val="1"/>
    <w:qFormat/>
    <w:uiPriority w:val="0"/>
    <w:pPr>
      <w:numPr>
        <w:ilvl w:val="0"/>
        <w:numId w:val="4"/>
      </w:numPr>
      <w:tabs>
        <w:tab w:val="clear" w:pos="360"/>
      </w:tabs>
      <w:autoSpaceDE w:val="0"/>
      <w:autoSpaceDN w:val="0"/>
      <w:adjustRightInd w:val="0"/>
      <w:ind w:left="425" w:hanging="137"/>
      <w:jc w:val="center"/>
    </w:pPr>
    <w:rPr>
      <w:kern w:val="0"/>
      <w:sz w:val="21"/>
      <w:lang w:eastAsia="en-US"/>
    </w:rPr>
  </w:style>
  <w:style w:type="paragraph" w:customStyle="1" w:styleId="123">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24">
    <w:name w:val="Char1 Char Char Char"/>
    <w:basedOn w:val="1"/>
    <w:qFormat/>
    <w:uiPriority w:val="0"/>
    <w:rPr>
      <w:rFonts w:ascii="Tahoma" w:hAnsi="Tahoma"/>
      <w:sz w:val="30"/>
    </w:rPr>
  </w:style>
  <w:style w:type="paragraph" w:customStyle="1" w:styleId="125">
    <w:name w:val="00"/>
    <w:basedOn w:val="1"/>
    <w:qFormat/>
    <w:uiPriority w:val="0"/>
    <w:pPr>
      <w:autoSpaceDE w:val="0"/>
      <w:autoSpaceDN w:val="0"/>
      <w:adjustRightInd w:val="0"/>
      <w:jc w:val="left"/>
    </w:pPr>
    <w:rPr>
      <w:rFonts w:ascii="黑体" w:eastAsia="黑体"/>
      <w:b/>
      <w:kern w:val="0"/>
      <w:sz w:val="20"/>
    </w:rPr>
  </w:style>
  <w:style w:type="paragraph" w:customStyle="1" w:styleId="126">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27">
    <w:name w:val="_"/>
    <w:basedOn w:val="1"/>
    <w:qFormat/>
    <w:uiPriority w:val="0"/>
    <w:pPr>
      <w:adjustRightInd w:val="0"/>
      <w:spacing w:line="360" w:lineRule="auto"/>
      <w:ind w:left="480" w:firstLine="200" w:firstLineChars="200"/>
      <w:textAlignment w:val="baseline"/>
    </w:pPr>
    <w:rPr>
      <w:kern w:val="0"/>
      <w:sz w:val="24"/>
    </w:rPr>
  </w:style>
  <w:style w:type="paragraph" w:customStyle="1" w:styleId="128">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29">
    <w:name w:val="表格内文字"/>
    <w:basedOn w:val="31"/>
    <w:qFormat/>
    <w:uiPriority w:val="0"/>
    <w:pPr>
      <w:adjustRightInd w:val="0"/>
    </w:pPr>
    <w:rPr>
      <w:color w:val="000000"/>
      <w:lang w:val="en-GB"/>
    </w:rPr>
  </w:style>
  <w:style w:type="paragraph" w:customStyle="1" w:styleId="130">
    <w:name w:val="标题3——2"/>
    <w:basedOn w:val="4"/>
    <w:next w:val="56"/>
    <w:qFormat/>
    <w:uiPriority w:val="0"/>
    <w:pPr>
      <w:tabs>
        <w:tab w:val="left" w:pos="1280"/>
        <w:tab w:val="right" w:leader="dot" w:pos="8777"/>
      </w:tabs>
      <w:spacing w:beforeLines="100" w:line="240" w:lineRule="auto"/>
      <w:ind w:left="851" w:hanging="851"/>
      <w:outlineLvl w:val="9"/>
    </w:pPr>
    <w:rPr>
      <w:rFonts w:ascii="黑体" w:hAnsi="宋体" w:eastAsia="黑体"/>
      <w:sz w:val="30"/>
    </w:rPr>
  </w:style>
  <w:style w:type="paragraph" w:customStyle="1" w:styleId="131">
    <w:name w:val="默认段落字体 Para Char Char Char Char Char Char Char Char Char1 Char Char Char Char"/>
    <w:basedOn w:val="1"/>
    <w:qFormat/>
    <w:uiPriority w:val="0"/>
    <w:rPr>
      <w:rFonts w:ascii="Tahoma" w:hAnsi="Tahoma"/>
      <w:sz w:val="24"/>
    </w:rPr>
  </w:style>
  <w:style w:type="paragraph" w:customStyle="1" w:styleId="132">
    <w:name w:val="_Style 131"/>
    <w:qFormat/>
    <w:uiPriority w:val="0"/>
    <w:rPr>
      <w:rFonts w:ascii="Calibri" w:hAnsi="Calibri" w:eastAsia="宋体" w:cs="Times New Roman"/>
      <w:kern w:val="2"/>
      <w:sz w:val="21"/>
      <w:lang w:val="en-US" w:eastAsia="zh-CN" w:bidi="ar-SA"/>
    </w:rPr>
  </w:style>
  <w:style w:type="paragraph" w:customStyle="1" w:styleId="133">
    <w:name w:val="Char"/>
    <w:basedOn w:val="1"/>
    <w:qFormat/>
    <w:uiPriority w:val="0"/>
    <w:pPr>
      <w:spacing w:line="240" w:lineRule="atLeast"/>
      <w:ind w:left="420" w:firstLine="420"/>
    </w:pPr>
    <w:rPr>
      <w:kern w:val="0"/>
      <w:sz w:val="21"/>
    </w:rPr>
  </w:style>
  <w:style w:type="paragraph" w:customStyle="1" w:styleId="134">
    <w:name w:val="Note"/>
    <w:basedOn w:val="1"/>
    <w:qFormat/>
    <w:uiPriority w:val="0"/>
    <w:pPr>
      <w:pBdr>
        <w:top w:val="single" w:color="auto" w:sz="12" w:space="3"/>
        <w:bottom w:val="single" w:color="auto" w:sz="12" w:space="3"/>
      </w:pBdr>
      <w:spacing w:line="360" w:lineRule="auto"/>
    </w:pPr>
    <w:rPr>
      <w:sz w:val="24"/>
    </w:rPr>
  </w:style>
  <w:style w:type="paragraph" w:customStyle="1" w:styleId="135">
    <w:name w:val="编号正文"/>
    <w:basedOn w:val="136"/>
    <w:qFormat/>
    <w:uiPriority w:val="0"/>
    <w:pPr>
      <w:snapToGrid/>
      <w:spacing w:line="360" w:lineRule="auto"/>
      <w:ind w:left="1407" w:hanging="1047"/>
      <w:jc w:val="left"/>
    </w:pPr>
    <w:rPr>
      <w:rFonts w:eastAsia="仿宋_GB2312"/>
    </w:rPr>
  </w:style>
  <w:style w:type="paragraph" w:customStyle="1" w:styleId="136">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37">
    <w:name w:val="正文格式"/>
    <w:basedOn w:val="1"/>
    <w:qFormat/>
    <w:uiPriority w:val="0"/>
    <w:pPr>
      <w:widowControl/>
      <w:adjustRightInd w:val="0"/>
      <w:snapToGrid w:val="0"/>
      <w:spacing w:line="360" w:lineRule="auto"/>
      <w:ind w:firstLine="480" w:firstLineChars="200"/>
      <w:jc w:val="left"/>
      <w:textAlignment w:val="baseline"/>
    </w:pPr>
    <w:rPr>
      <w:rFonts w:ascii="宋体" w:hAnsi="宋体"/>
      <w:color w:val="000000"/>
      <w:kern w:val="0"/>
      <w:sz w:val="24"/>
    </w:rPr>
  </w:style>
  <w:style w:type="paragraph" w:customStyle="1" w:styleId="138">
    <w:name w:val="xl53"/>
    <w:basedOn w:val="1"/>
    <w:qFormat/>
    <w:uiPriority w:val="0"/>
    <w:pPr>
      <w:widowControl/>
      <w:pBdr>
        <w:left w:val="single" w:color="auto" w:sz="4" w:space="0"/>
        <w:bottom w:val="single" w:color="auto" w:sz="4" w:space="0"/>
      </w:pBdr>
      <w:spacing w:beforeAutospacing="1" w:afterAutospacing="1"/>
      <w:jc w:val="center"/>
      <w:textAlignment w:val="center"/>
    </w:pPr>
    <w:rPr>
      <w:rFonts w:ascii="宋体" w:hAnsi="宋体"/>
      <w:kern w:val="0"/>
      <w:sz w:val="24"/>
    </w:rPr>
  </w:style>
  <w:style w:type="paragraph" w:customStyle="1" w:styleId="139">
    <w:name w:val="简单回函地址"/>
    <w:basedOn w:val="1"/>
    <w:qFormat/>
    <w:uiPriority w:val="0"/>
    <w:pPr>
      <w:adjustRightInd w:val="0"/>
      <w:snapToGrid w:val="0"/>
      <w:spacing w:line="360" w:lineRule="auto"/>
    </w:pPr>
    <w:rPr>
      <w:sz w:val="24"/>
    </w:rPr>
  </w:style>
  <w:style w:type="paragraph" w:customStyle="1" w:styleId="140">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141">
    <w:name w:val="表头文本"/>
    <w:qFormat/>
    <w:uiPriority w:val="0"/>
    <w:pPr>
      <w:jc w:val="center"/>
    </w:pPr>
    <w:rPr>
      <w:rFonts w:ascii="Arial" w:hAnsi="Arial" w:eastAsia="宋体" w:cs="Times New Roman"/>
      <w:b/>
      <w:sz w:val="21"/>
      <w:lang w:val="en-US" w:eastAsia="zh-CN" w:bidi="ar-SA"/>
    </w:rPr>
  </w:style>
  <w:style w:type="paragraph" w:customStyle="1" w:styleId="142">
    <w:name w:val="标准正文"/>
    <w:basedOn w:val="24"/>
    <w:qFormat/>
    <w:uiPriority w:val="0"/>
    <w:pPr>
      <w:spacing w:line="360" w:lineRule="auto"/>
      <w:ind w:left="0" w:firstLine="482"/>
    </w:pPr>
    <w:rPr>
      <w:rFonts w:ascii="Arial" w:hAnsi="Arial"/>
      <w:sz w:val="24"/>
    </w:rPr>
  </w:style>
  <w:style w:type="paragraph" w:customStyle="1" w:styleId="143">
    <w:name w:val="正文 + 三号"/>
    <w:basedOn w:val="1"/>
    <w:qFormat/>
    <w:uiPriority w:val="0"/>
    <w:rPr>
      <w:sz w:val="21"/>
    </w:rPr>
  </w:style>
  <w:style w:type="paragraph" w:customStyle="1" w:styleId="144">
    <w:name w:val="Char Char1 Char"/>
    <w:basedOn w:val="1"/>
    <w:qFormat/>
    <w:uiPriority w:val="0"/>
    <w:rPr>
      <w:rFonts w:ascii="Tahoma" w:hAnsi="Tahoma"/>
      <w:sz w:val="24"/>
      <w:szCs w:val="24"/>
    </w:rPr>
  </w:style>
  <w:style w:type="paragraph" w:customStyle="1" w:styleId="145">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46">
    <w:name w:val="content"/>
    <w:basedOn w:val="1"/>
    <w:qFormat/>
    <w:uiPriority w:val="0"/>
    <w:pPr>
      <w:widowControl/>
      <w:spacing w:beforeAutospacing="1" w:afterAutospacing="1" w:line="280" w:lineRule="atLeast"/>
      <w:ind w:firstLine="375"/>
      <w:jc w:val="left"/>
    </w:pPr>
    <w:rPr>
      <w:rFonts w:ascii="宋体" w:hAnsi="宋体"/>
      <w:color w:val="000000"/>
      <w:kern w:val="0"/>
      <w:sz w:val="18"/>
    </w:rPr>
  </w:style>
  <w:style w:type="paragraph" w:customStyle="1" w:styleId="147">
    <w:name w:val="IN Feature"/>
    <w:next w:val="148"/>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48">
    <w:name w:val="IN Step"/>
    <w:basedOn w:val="1"/>
    <w:qFormat/>
    <w:uiPriority w:val="0"/>
    <w:pPr>
      <w:keepLines/>
      <w:widowControl/>
      <w:tabs>
        <w:tab w:val="left" w:pos="1134"/>
      </w:tabs>
      <w:spacing w:line="300" w:lineRule="auto"/>
      <w:ind w:left="1134" w:hanging="907"/>
      <w:outlineLvl w:val="8"/>
    </w:pPr>
    <w:rPr>
      <w:rFonts w:ascii="Arial" w:hAnsi="Arial"/>
      <w:kern w:val="0"/>
      <w:sz w:val="21"/>
    </w:rPr>
  </w:style>
  <w:style w:type="paragraph" w:customStyle="1" w:styleId="149">
    <w:name w:val="司法正文"/>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50">
    <w:name w:val="普通正文"/>
    <w:basedOn w:val="1"/>
    <w:qFormat/>
    <w:uiPriority w:val="0"/>
    <w:pPr>
      <w:adjustRightInd w:val="0"/>
      <w:spacing w:line="360" w:lineRule="auto"/>
      <w:ind w:firstLine="480"/>
      <w:jc w:val="left"/>
      <w:textAlignment w:val="baseline"/>
    </w:pPr>
    <w:rPr>
      <w:rFonts w:ascii="Arial" w:hAnsi="Arial"/>
      <w:kern w:val="0"/>
      <w:sz w:val="24"/>
    </w:rPr>
  </w:style>
  <w:style w:type="paragraph" w:customStyle="1" w:styleId="151">
    <w:name w:val="标书正文:  0.74 厘米"/>
    <w:basedOn w:val="1"/>
    <w:qFormat/>
    <w:uiPriority w:val="0"/>
    <w:pPr>
      <w:snapToGrid w:val="0"/>
      <w:spacing w:line="360" w:lineRule="auto"/>
      <w:ind w:firstLine="420"/>
    </w:pPr>
    <w:rPr>
      <w:sz w:val="24"/>
    </w:rPr>
  </w:style>
  <w:style w:type="paragraph" w:customStyle="1" w:styleId="152">
    <w:name w:val="列出段落1"/>
    <w:basedOn w:val="1"/>
    <w:qFormat/>
    <w:uiPriority w:val="34"/>
    <w:pPr>
      <w:ind w:firstLine="420" w:firstLineChars="200"/>
    </w:pPr>
    <w:rPr>
      <w:sz w:val="21"/>
      <w:szCs w:val="24"/>
    </w:rPr>
  </w:style>
  <w:style w:type="paragraph" w:customStyle="1" w:styleId="153">
    <w:name w:val="样式 样式 首行缩进:  2 字符 + 首行缩进:  2 字符"/>
    <w:basedOn w:val="1"/>
    <w:qFormat/>
    <w:uiPriority w:val="0"/>
    <w:pPr>
      <w:numPr>
        <w:ilvl w:val="0"/>
        <w:numId w:val="5"/>
      </w:numPr>
      <w:tabs>
        <w:tab w:val="clear" w:pos="1230"/>
      </w:tabs>
      <w:spacing w:line="360" w:lineRule="auto"/>
      <w:ind w:firstLine="480" w:firstLineChars="200"/>
    </w:pPr>
    <w:rPr>
      <w:sz w:val="24"/>
    </w:rPr>
  </w:style>
  <w:style w:type="paragraph" w:customStyle="1" w:styleId="154">
    <w:name w:val="段落正文"/>
    <w:basedOn w:val="1"/>
    <w:qFormat/>
    <w:uiPriority w:val="0"/>
    <w:pPr>
      <w:spacing w:beforeLines="50" w:line="360" w:lineRule="auto"/>
      <w:ind w:firstLine="200" w:firstLineChars="200"/>
    </w:pPr>
    <w:rPr>
      <w:spacing w:val="2"/>
      <w:sz w:val="24"/>
    </w:rPr>
  </w:style>
  <w:style w:type="paragraph" w:customStyle="1" w:styleId="155">
    <w:name w:val="正文4"/>
    <w:basedOn w:val="1"/>
    <w:qFormat/>
    <w:uiPriority w:val="0"/>
    <w:pPr>
      <w:tabs>
        <w:tab w:val="left" w:pos="1275"/>
      </w:tabs>
      <w:spacing w:line="360" w:lineRule="auto"/>
      <w:ind w:left="820" w:leftChars="400" w:hanging="705"/>
    </w:pPr>
    <w:rPr>
      <w:sz w:val="24"/>
    </w:rPr>
  </w:style>
  <w:style w:type="paragraph" w:customStyle="1" w:styleId="156">
    <w:name w:val="关键词"/>
    <w:basedOn w:val="1"/>
    <w:next w:val="1"/>
    <w:qFormat/>
    <w:uiPriority w:val="0"/>
    <w:pPr>
      <w:spacing w:line="360" w:lineRule="auto"/>
    </w:pPr>
    <w:rPr>
      <w:rFonts w:eastAsia="黑体"/>
      <w:sz w:val="20"/>
    </w:rPr>
  </w:style>
  <w:style w:type="paragraph" w:customStyle="1" w:styleId="157">
    <w:name w:val="CSS1级正文 Char"/>
    <w:basedOn w:val="22"/>
    <w:qFormat/>
    <w:uiPriority w:val="0"/>
    <w:pPr>
      <w:adjustRightInd w:val="0"/>
      <w:snapToGrid w:val="0"/>
      <w:spacing w:line="360" w:lineRule="auto"/>
      <w:ind w:firstLine="480"/>
    </w:pPr>
    <w:rPr>
      <w:rFonts w:ascii="Times New Roman" w:eastAsia="宋体"/>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DD3049-1B84-4113-9B3A-9EE2935F1ADD}">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27</Pages>
  <Words>13509</Words>
  <Characters>14048</Characters>
  <Lines>126</Lines>
  <Paragraphs>35</Paragraphs>
  <TotalTime>71</TotalTime>
  <ScaleCrop>false</ScaleCrop>
  <LinksUpToDate>false</LinksUpToDate>
  <CharactersWithSpaces>14769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2022-06-13T08:04:00Z</dcterms:created>
  <dc:creator>罗成</dc:creator>
  <cp:lastModifiedBy>Administrator</cp:lastModifiedBy>
  <cp:lastPrinted>2020-09-18T23:14:00Z</cp:lastPrinted>
  <dcterms:modified xsi:type="dcterms:W3CDTF">2022-07-21T08:28:14Z</dcterms:modified>
  <dc:title>竞争性谈判文件</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e3644725ba26441da03d4c6f35f541ad</vt:lpwstr>
  </property>
</Properties>
</file>